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9E2760" w14:paraId="7EAA02F1" w14:textId="77777777" w:rsidTr="00F71ACC">
        <w:trPr>
          <w:cantSplit/>
        </w:trPr>
        <w:tc>
          <w:tcPr>
            <w:tcW w:w="1418" w:type="dxa"/>
            <w:gridSpan w:val="3"/>
            <w:vAlign w:val="center"/>
          </w:tcPr>
          <w:p w14:paraId="6CC9C45C" w14:textId="77777777" w:rsidR="003E5F3C" w:rsidRPr="009E2760" w:rsidRDefault="0010404C" w:rsidP="00CB634F">
            <w:pPr>
              <w:tabs>
                <w:tab w:val="right" w:pos="8732"/>
              </w:tabs>
              <w:spacing w:before="0"/>
              <w:rPr>
                <w:rFonts w:asciiTheme="minorHAnsi" w:hAnsiTheme="minorHAnsi"/>
                <w:b/>
                <w:bCs/>
                <w:iCs/>
                <w:color w:val="FFFFFF"/>
                <w:sz w:val="30"/>
                <w:szCs w:val="30"/>
              </w:rPr>
            </w:pPr>
            <w:r w:rsidRPr="009E2760">
              <w:rPr>
                <w:noProof/>
                <w:lang w:eastAsia="zh-CN"/>
              </w:rPr>
              <w:drawing>
                <wp:inline distT="0" distB="0" distL="0" distR="0" wp14:anchorId="384C5501" wp14:editId="6365C62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137F0113" w14:textId="77777777" w:rsidR="003E5F3C" w:rsidRPr="009E2760" w:rsidRDefault="003E5F3C" w:rsidP="00CB634F">
            <w:pPr>
              <w:spacing w:before="0"/>
              <w:rPr>
                <w:rFonts w:asciiTheme="minorHAnsi" w:hAnsiTheme="minorHAnsi" w:cs="Times New Roman Bold"/>
                <w:b/>
                <w:bCs/>
                <w:iCs/>
                <w:smallCaps/>
                <w:sz w:val="34"/>
                <w:szCs w:val="34"/>
              </w:rPr>
            </w:pPr>
            <w:r w:rsidRPr="009E2760">
              <w:rPr>
                <w:rFonts w:asciiTheme="minorHAnsi" w:hAnsiTheme="minorHAnsi" w:cs="Times New Roman Bold"/>
                <w:b/>
                <w:bCs/>
                <w:iCs/>
                <w:smallCaps/>
                <w:sz w:val="34"/>
                <w:szCs w:val="34"/>
              </w:rPr>
              <w:t>Union internationale des télécommunications</w:t>
            </w:r>
          </w:p>
          <w:p w14:paraId="0A58EEED" w14:textId="77777777" w:rsidR="003E5F3C" w:rsidRPr="009E2760" w:rsidRDefault="003E5F3C" w:rsidP="00CB634F">
            <w:pPr>
              <w:tabs>
                <w:tab w:val="right" w:pos="8732"/>
              </w:tabs>
              <w:spacing w:before="0"/>
              <w:rPr>
                <w:rFonts w:asciiTheme="minorHAnsi" w:hAnsiTheme="minorHAnsi"/>
                <w:b/>
                <w:bCs/>
                <w:iCs/>
                <w:color w:val="FFFFFF"/>
                <w:sz w:val="30"/>
                <w:szCs w:val="30"/>
              </w:rPr>
            </w:pPr>
            <w:r w:rsidRPr="009E2760">
              <w:rPr>
                <w:rFonts w:asciiTheme="minorHAnsi" w:hAnsiTheme="minorHAnsi" w:cs="Times New Roman Bold"/>
                <w:b/>
                <w:bCs/>
                <w:iCs/>
                <w:smallCaps/>
                <w:sz w:val="28"/>
                <w:szCs w:val="28"/>
              </w:rPr>
              <w:t>B</w:t>
            </w:r>
            <w:r w:rsidRPr="009E2760">
              <w:rPr>
                <w:rFonts w:asciiTheme="minorHAnsi" w:hAnsiTheme="minorHAnsi"/>
                <w:b/>
                <w:bCs/>
                <w:iCs/>
                <w:smallCaps/>
                <w:sz w:val="28"/>
                <w:szCs w:val="28"/>
              </w:rPr>
              <w:t>ureau de la Normalisation des Télécommunications</w:t>
            </w:r>
          </w:p>
        </w:tc>
        <w:tc>
          <w:tcPr>
            <w:tcW w:w="1984" w:type="dxa"/>
            <w:vAlign w:val="center"/>
          </w:tcPr>
          <w:p w14:paraId="10D2B658" w14:textId="77777777" w:rsidR="003E5F3C" w:rsidRPr="009E2760" w:rsidRDefault="003E5F3C" w:rsidP="00CB634F">
            <w:pPr>
              <w:spacing w:before="0"/>
              <w:jc w:val="right"/>
              <w:rPr>
                <w:rFonts w:asciiTheme="minorHAnsi" w:hAnsiTheme="minorHAnsi"/>
                <w:color w:val="FFFFFF"/>
                <w:sz w:val="26"/>
                <w:szCs w:val="26"/>
              </w:rPr>
            </w:pPr>
          </w:p>
        </w:tc>
      </w:tr>
      <w:tr w:rsidR="00F71ACC" w:rsidRPr="009E2760" w14:paraId="681201ED" w14:textId="77777777" w:rsidTr="005A4EFA">
        <w:trPr>
          <w:gridBefore w:val="1"/>
          <w:wBefore w:w="8" w:type="dxa"/>
          <w:cantSplit/>
          <w:trHeight w:val="340"/>
        </w:trPr>
        <w:tc>
          <w:tcPr>
            <w:tcW w:w="985" w:type="dxa"/>
          </w:tcPr>
          <w:p w14:paraId="5B3FC180" w14:textId="77777777" w:rsidR="00F71ACC" w:rsidRPr="009E2760" w:rsidRDefault="00F71ACC" w:rsidP="00C17596">
            <w:pPr>
              <w:tabs>
                <w:tab w:val="left" w:pos="4111"/>
              </w:tabs>
              <w:spacing w:before="10"/>
              <w:ind w:left="57"/>
              <w:rPr>
                <w:rFonts w:asciiTheme="minorHAnsi" w:hAnsiTheme="minorHAnsi"/>
              </w:rPr>
            </w:pPr>
          </w:p>
        </w:tc>
        <w:tc>
          <w:tcPr>
            <w:tcW w:w="3892" w:type="dxa"/>
            <w:gridSpan w:val="2"/>
          </w:tcPr>
          <w:p w14:paraId="37EF1F58" w14:textId="77777777" w:rsidR="00F71ACC" w:rsidRPr="009E2760" w:rsidRDefault="00F71ACC" w:rsidP="00C17596">
            <w:pPr>
              <w:tabs>
                <w:tab w:val="left" w:pos="4111"/>
              </w:tabs>
              <w:spacing w:before="0"/>
              <w:ind w:left="57"/>
              <w:rPr>
                <w:rFonts w:asciiTheme="minorHAnsi" w:hAnsiTheme="minorHAnsi"/>
                <w:b/>
              </w:rPr>
            </w:pPr>
          </w:p>
        </w:tc>
        <w:tc>
          <w:tcPr>
            <w:tcW w:w="4896" w:type="dxa"/>
            <w:gridSpan w:val="2"/>
          </w:tcPr>
          <w:p w14:paraId="6B92569F" w14:textId="470FD9F7" w:rsidR="00F71ACC" w:rsidRPr="009E2760" w:rsidRDefault="00F71ACC" w:rsidP="00E92C6C">
            <w:pPr>
              <w:tabs>
                <w:tab w:val="clear" w:pos="794"/>
                <w:tab w:val="clear" w:pos="1191"/>
                <w:tab w:val="clear" w:pos="1588"/>
                <w:tab w:val="clear" w:pos="1985"/>
              </w:tabs>
              <w:spacing w:after="120"/>
              <w:ind w:left="57"/>
              <w:rPr>
                <w:rFonts w:asciiTheme="minorHAnsi" w:hAnsiTheme="minorHAnsi"/>
                <w:b/>
              </w:rPr>
            </w:pPr>
            <w:r w:rsidRPr="009E2760">
              <w:rPr>
                <w:rFonts w:asciiTheme="minorHAnsi" w:hAnsiTheme="minorHAnsi"/>
              </w:rPr>
              <w:t>Genève, le</w:t>
            </w:r>
            <w:r w:rsidR="00E92C6C" w:rsidRPr="009E2760">
              <w:rPr>
                <w:rFonts w:asciiTheme="minorHAnsi" w:hAnsiTheme="minorHAnsi"/>
              </w:rPr>
              <w:t xml:space="preserve"> 17 novembre 2022</w:t>
            </w:r>
          </w:p>
        </w:tc>
      </w:tr>
      <w:tr w:rsidR="00F71ACC" w:rsidRPr="009E2760" w14:paraId="3C77E453" w14:textId="77777777" w:rsidTr="005A4EFA">
        <w:trPr>
          <w:gridBefore w:val="1"/>
          <w:wBefore w:w="8" w:type="dxa"/>
          <w:cantSplit/>
          <w:trHeight w:val="340"/>
        </w:trPr>
        <w:tc>
          <w:tcPr>
            <w:tcW w:w="985" w:type="dxa"/>
          </w:tcPr>
          <w:p w14:paraId="15E0DE28" w14:textId="77777777" w:rsidR="00F71ACC" w:rsidRPr="009E2760" w:rsidRDefault="00F71ACC" w:rsidP="00F71ACC">
            <w:pPr>
              <w:tabs>
                <w:tab w:val="left" w:pos="4111"/>
              </w:tabs>
              <w:spacing w:before="40" w:after="40"/>
              <w:ind w:left="57"/>
              <w:rPr>
                <w:rFonts w:asciiTheme="minorHAnsi" w:hAnsiTheme="minorHAnsi"/>
              </w:rPr>
            </w:pPr>
            <w:proofErr w:type="gramStart"/>
            <w:r w:rsidRPr="009E2760">
              <w:rPr>
                <w:rFonts w:asciiTheme="minorHAnsi" w:hAnsiTheme="minorHAnsi"/>
              </w:rPr>
              <w:t>Réf.:</w:t>
            </w:r>
            <w:proofErr w:type="gramEnd"/>
          </w:p>
        </w:tc>
        <w:tc>
          <w:tcPr>
            <w:tcW w:w="3892" w:type="dxa"/>
            <w:gridSpan w:val="2"/>
          </w:tcPr>
          <w:p w14:paraId="2C74E51E" w14:textId="103FCD4A" w:rsidR="009F0037" w:rsidRPr="009E2760" w:rsidRDefault="00F71ACC" w:rsidP="009F0037">
            <w:pPr>
              <w:tabs>
                <w:tab w:val="left" w:pos="4111"/>
              </w:tabs>
              <w:spacing w:before="40" w:after="40"/>
              <w:ind w:left="227" w:hanging="170"/>
              <w:rPr>
                <w:rFonts w:asciiTheme="minorHAnsi" w:hAnsiTheme="minorHAnsi"/>
                <w:b/>
              </w:rPr>
            </w:pPr>
            <w:r w:rsidRPr="009E2760">
              <w:rPr>
                <w:rFonts w:asciiTheme="minorHAnsi" w:hAnsiTheme="minorHAnsi"/>
                <w:b/>
              </w:rPr>
              <w:t xml:space="preserve">Lettre collective TSB </w:t>
            </w:r>
            <w:r w:rsidR="009F0037" w:rsidRPr="009E2760">
              <w:rPr>
                <w:rFonts w:asciiTheme="minorHAnsi" w:hAnsiTheme="minorHAnsi"/>
                <w:b/>
              </w:rPr>
              <w:t>1/SG2RG-AFR</w:t>
            </w:r>
          </w:p>
          <w:p w14:paraId="0BA0EBED" w14:textId="49517BEC" w:rsidR="00F71ACC" w:rsidRPr="009E2760" w:rsidRDefault="009F0037" w:rsidP="009F0037">
            <w:pPr>
              <w:tabs>
                <w:tab w:val="left" w:pos="4111"/>
              </w:tabs>
              <w:spacing w:before="40" w:after="40"/>
              <w:ind w:left="227" w:hanging="170"/>
              <w:rPr>
                <w:rFonts w:asciiTheme="minorHAnsi" w:hAnsiTheme="minorHAnsi"/>
                <w:bCs/>
              </w:rPr>
            </w:pPr>
            <w:r w:rsidRPr="009E2760">
              <w:rPr>
                <w:rFonts w:asciiTheme="minorHAnsi" w:hAnsiTheme="minorHAnsi"/>
                <w:bCs/>
              </w:rPr>
              <w:t>CE 2/RC</w:t>
            </w:r>
          </w:p>
        </w:tc>
        <w:tc>
          <w:tcPr>
            <w:tcW w:w="4896" w:type="dxa"/>
            <w:gridSpan w:val="2"/>
            <w:vMerge w:val="restart"/>
          </w:tcPr>
          <w:p w14:paraId="3032CBD8" w14:textId="00141CF2" w:rsidR="009F0037" w:rsidRPr="009E2760" w:rsidRDefault="00F71ACC" w:rsidP="009F0037">
            <w:pPr>
              <w:tabs>
                <w:tab w:val="clear" w:pos="794"/>
                <w:tab w:val="clear" w:pos="1191"/>
                <w:tab w:val="clear" w:pos="1588"/>
                <w:tab w:val="clear" w:pos="1985"/>
              </w:tabs>
              <w:spacing w:before="40" w:after="40"/>
              <w:ind w:left="227" w:hanging="170"/>
              <w:rPr>
                <w:rFonts w:asciiTheme="minorHAnsi" w:hAnsiTheme="minorHAnsi"/>
              </w:rPr>
            </w:pPr>
            <w:r w:rsidRPr="009E2760">
              <w:rPr>
                <w:rFonts w:asciiTheme="minorHAnsi" w:hAnsiTheme="minorHAnsi"/>
              </w:rPr>
              <w:t>–</w:t>
            </w:r>
            <w:r w:rsidRPr="009E2760">
              <w:rPr>
                <w:rFonts w:asciiTheme="minorHAnsi" w:hAnsiTheme="minorHAnsi"/>
              </w:rPr>
              <w:tab/>
            </w:r>
            <w:r w:rsidR="009F0037" w:rsidRPr="009E2760">
              <w:rPr>
                <w:rFonts w:asciiTheme="minorHAnsi" w:hAnsiTheme="minorHAnsi"/>
              </w:rPr>
              <w:t>Aux administrations participant aux travaux du Groupe SG2RG-</w:t>
            </w:r>
            <w:proofErr w:type="gramStart"/>
            <w:r w:rsidR="009F0037" w:rsidRPr="009E2760">
              <w:rPr>
                <w:rFonts w:asciiTheme="minorHAnsi" w:hAnsiTheme="minorHAnsi"/>
              </w:rPr>
              <w:t>AFR;</w:t>
            </w:r>
            <w:proofErr w:type="gramEnd"/>
          </w:p>
          <w:p w14:paraId="27C2EEB1" w14:textId="1EA72497" w:rsidR="009F0037" w:rsidRPr="009E2760" w:rsidRDefault="009F0037" w:rsidP="009F0037">
            <w:pPr>
              <w:tabs>
                <w:tab w:val="clear" w:pos="794"/>
                <w:tab w:val="clear" w:pos="1191"/>
                <w:tab w:val="clear" w:pos="1588"/>
                <w:tab w:val="clear" w:pos="1985"/>
              </w:tabs>
              <w:spacing w:before="40" w:after="40"/>
              <w:ind w:left="227" w:hanging="170"/>
              <w:rPr>
                <w:rFonts w:asciiTheme="minorHAnsi" w:hAnsiTheme="minorHAnsi"/>
              </w:rPr>
            </w:pPr>
            <w:r w:rsidRPr="009E2760">
              <w:rPr>
                <w:rFonts w:asciiTheme="minorHAnsi" w:hAnsiTheme="minorHAnsi"/>
              </w:rPr>
              <w:t>-</w:t>
            </w:r>
            <w:r w:rsidRPr="009E2760">
              <w:rPr>
                <w:rFonts w:asciiTheme="minorHAnsi" w:hAnsiTheme="minorHAnsi"/>
              </w:rPr>
              <w:tab/>
              <w:t>aux Membres du Secteur UIT-T participant aux travaux du Groupe SG2RG-</w:t>
            </w:r>
            <w:proofErr w:type="gramStart"/>
            <w:r w:rsidRPr="009E2760">
              <w:rPr>
                <w:rFonts w:asciiTheme="minorHAnsi" w:hAnsiTheme="minorHAnsi"/>
              </w:rPr>
              <w:t>AFR;</w:t>
            </w:r>
            <w:proofErr w:type="gramEnd"/>
          </w:p>
          <w:p w14:paraId="7C4BD23D" w14:textId="0D3382F0" w:rsidR="009F0037" w:rsidRPr="009E2760" w:rsidRDefault="009F0037" w:rsidP="009F0037">
            <w:pPr>
              <w:tabs>
                <w:tab w:val="clear" w:pos="794"/>
                <w:tab w:val="clear" w:pos="1191"/>
                <w:tab w:val="clear" w:pos="1588"/>
                <w:tab w:val="clear" w:pos="1985"/>
              </w:tabs>
              <w:spacing w:before="40" w:after="40"/>
              <w:ind w:left="227" w:hanging="170"/>
              <w:rPr>
                <w:rFonts w:asciiTheme="minorHAnsi" w:hAnsiTheme="minorHAnsi"/>
              </w:rPr>
            </w:pPr>
            <w:r w:rsidRPr="009E2760">
              <w:rPr>
                <w:rFonts w:asciiTheme="minorHAnsi" w:hAnsiTheme="minorHAnsi"/>
              </w:rPr>
              <w:t>-</w:t>
            </w:r>
            <w:r w:rsidRPr="009E2760">
              <w:rPr>
                <w:rFonts w:asciiTheme="minorHAnsi" w:hAnsiTheme="minorHAnsi"/>
              </w:rPr>
              <w:tab/>
              <w:t>aux Associés de l'UIT-T participant aux travaux du Groupe SG2RG-</w:t>
            </w:r>
            <w:proofErr w:type="gramStart"/>
            <w:r w:rsidRPr="009E2760">
              <w:rPr>
                <w:rFonts w:asciiTheme="minorHAnsi" w:hAnsiTheme="minorHAnsi"/>
              </w:rPr>
              <w:t>AFR;</w:t>
            </w:r>
            <w:proofErr w:type="gramEnd"/>
          </w:p>
          <w:p w14:paraId="03CD7B7B" w14:textId="77777777" w:rsidR="009F0037" w:rsidRPr="009E2760" w:rsidRDefault="009F0037" w:rsidP="009F0037">
            <w:pPr>
              <w:tabs>
                <w:tab w:val="clear" w:pos="794"/>
                <w:tab w:val="clear" w:pos="1191"/>
                <w:tab w:val="clear" w:pos="1588"/>
                <w:tab w:val="clear" w:pos="1985"/>
              </w:tabs>
              <w:spacing w:before="40" w:after="40"/>
              <w:ind w:left="227" w:hanging="170"/>
              <w:rPr>
                <w:rFonts w:asciiTheme="minorHAnsi" w:hAnsiTheme="minorHAnsi"/>
              </w:rPr>
            </w:pPr>
            <w:r w:rsidRPr="009E2760">
              <w:rPr>
                <w:rFonts w:asciiTheme="minorHAnsi" w:hAnsiTheme="minorHAnsi"/>
              </w:rPr>
              <w:t>-</w:t>
            </w:r>
            <w:r w:rsidRPr="009E2760">
              <w:rPr>
                <w:rFonts w:asciiTheme="minorHAnsi" w:hAnsiTheme="minorHAnsi"/>
              </w:rPr>
              <w:tab/>
              <w:t>aux établissements universitaires participant aux travaux du Groupe SG2RG-</w:t>
            </w:r>
            <w:proofErr w:type="gramStart"/>
            <w:r w:rsidRPr="009E2760">
              <w:rPr>
                <w:rFonts w:asciiTheme="minorHAnsi" w:hAnsiTheme="minorHAnsi"/>
              </w:rPr>
              <w:t>AFR;</w:t>
            </w:r>
            <w:proofErr w:type="gramEnd"/>
          </w:p>
          <w:p w14:paraId="7D06C0F9" w14:textId="77777777" w:rsidR="009F0037" w:rsidRPr="009E2760" w:rsidRDefault="009F0037" w:rsidP="009F0037">
            <w:pPr>
              <w:tabs>
                <w:tab w:val="clear" w:pos="794"/>
                <w:tab w:val="clear" w:pos="1191"/>
                <w:tab w:val="clear" w:pos="1588"/>
                <w:tab w:val="clear" w:pos="1985"/>
              </w:tabs>
              <w:spacing w:before="40" w:after="40"/>
              <w:ind w:left="227" w:hanging="170"/>
              <w:rPr>
                <w:rFonts w:asciiTheme="minorHAnsi" w:hAnsiTheme="minorHAnsi"/>
              </w:rPr>
            </w:pPr>
            <w:r w:rsidRPr="009E2760">
              <w:rPr>
                <w:rFonts w:asciiTheme="minorHAnsi" w:hAnsiTheme="minorHAnsi"/>
              </w:rPr>
              <w:t>-</w:t>
            </w:r>
            <w:r w:rsidRPr="009E2760">
              <w:rPr>
                <w:rFonts w:asciiTheme="minorHAnsi" w:hAnsiTheme="minorHAnsi"/>
              </w:rPr>
              <w:tab/>
              <w:t xml:space="preserve">à l'Union africaine des </w:t>
            </w:r>
            <w:proofErr w:type="gramStart"/>
            <w:r w:rsidRPr="009E2760">
              <w:rPr>
                <w:rFonts w:asciiTheme="minorHAnsi" w:hAnsiTheme="minorHAnsi"/>
              </w:rPr>
              <w:t>télécommunications;</w:t>
            </w:r>
            <w:proofErr w:type="gramEnd"/>
          </w:p>
          <w:p w14:paraId="0725FF81" w14:textId="77777777" w:rsidR="009F0037" w:rsidRPr="009E2760" w:rsidRDefault="009F0037" w:rsidP="009F0037">
            <w:pPr>
              <w:tabs>
                <w:tab w:val="clear" w:pos="794"/>
                <w:tab w:val="clear" w:pos="1191"/>
                <w:tab w:val="clear" w:pos="1588"/>
                <w:tab w:val="clear" w:pos="1985"/>
              </w:tabs>
              <w:spacing w:before="40" w:after="40"/>
              <w:ind w:left="227" w:hanging="170"/>
              <w:rPr>
                <w:rFonts w:asciiTheme="minorHAnsi" w:hAnsiTheme="minorHAnsi"/>
              </w:rPr>
            </w:pPr>
            <w:r w:rsidRPr="009E2760">
              <w:rPr>
                <w:rFonts w:asciiTheme="minorHAnsi" w:hAnsiTheme="minorHAnsi"/>
              </w:rPr>
              <w:t>-</w:t>
            </w:r>
            <w:r w:rsidRPr="009E2760">
              <w:rPr>
                <w:rFonts w:asciiTheme="minorHAnsi" w:hAnsiTheme="minorHAnsi"/>
              </w:rPr>
              <w:tab/>
              <w:t xml:space="preserve">au Bureau régional de l'UIT pour </w:t>
            </w:r>
            <w:proofErr w:type="gramStart"/>
            <w:r w:rsidRPr="009E2760">
              <w:rPr>
                <w:rFonts w:asciiTheme="minorHAnsi" w:hAnsiTheme="minorHAnsi"/>
              </w:rPr>
              <w:t>l'Afrique;</w:t>
            </w:r>
            <w:proofErr w:type="gramEnd"/>
          </w:p>
          <w:p w14:paraId="40BD627B" w14:textId="57C7B2D5" w:rsidR="00F71ACC" w:rsidRPr="009E2760" w:rsidRDefault="009F0037" w:rsidP="009F0037">
            <w:pPr>
              <w:spacing w:before="0"/>
              <w:ind w:left="226" w:hanging="169"/>
              <w:rPr>
                <w:rFonts w:asciiTheme="minorHAnsi" w:hAnsiTheme="minorHAnsi"/>
                <w:b/>
              </w:rPr>
            </w:pPr>
            <w:r w:rsidRPr="009E2760">
              <w:rPr>
                <w:rFonts w:asciiTheme="minorHAnsi" w:hAnsiTheme="minorHAnsi"/>
              </w:rPr>
              <w:t>-</w:t>
            </w:r>
            <w:r w:rsidRPr="009E2760">
              <w:rPr>
                <w:rFonts w:asciiTheme="minorHAnsi" w:hAnsiTheme="minorHAnsi"/>
              </w:rPr>
              <w:tab/>
              <w:t>au Bureau de zone de l'UIT pour l'Afrique</w:t>
            </w:r>
          </w:p>
        </w:tc>
      </w:tr>
      <w:tr w:rsidR="00F71ACC" w:rsidRPr="009E2760" w14:paraId="75C847F9" w14:textId="77777777" w:rsidTr="005A4EFA">
        <w:trPr>
          <w:gridBefore w:val="1"/>
          <w:wBefore w:w="8" w:type="dxa"/>
          <w:cantSplit/>
        </w:trPr>
        <w:tc>
          <w:tcPr>
            <w:tcW w:w="985" w:type="dxa"/>
          </w:tcPr>
          <w:p w14:paraId="5E7F08B6" w14:textId="77777777" w:rsidR="00F71ACC" w:rsidRPr="009E2760" w:rsidRDefault="00F71ACC" w:rsidP="00F71ACC">
            <w:pPr>
              <w:tabs>
                <w:tab w:val="left" w:pos="4111"/>
              </w:tabs>
              <w:spacing w:before="40" w:after="40"/>
              <w:ind w:left="57"/>
              <w:rPr>
                <w:rFonts w:asciiTheme="minorHAnsi" w:hAnsiTheme="minorHAnsi"/>
              </w:rPr>
            </w:pPr>
            <w:proofErr w:type="gramStart"/>
            <w:r w:rsidRPr="009E2760">
              <w:rPr>
                <w:rFonts w:asciiTheme="minorHAnsi" w:hAnsiTheme="minorHAnsi"/>
              </w:rPr>
              <w:t>Tél.:</w:t>
            </w:r>
            <w:proofErr w:type="gramEnd"/>
          </w:p>
        </w:tc>
        <w:tc>
          <w:tcPr>
            <w:tcW w:w="3892" w:type="dxa"/>
            <w:gridSpan w:val="2"/>
          </w:tcPr>
          <w:p w14:paraId="4A7E0FAC" w14:textId="478DA4B1" w:rsidR="00F71ACC" w:rsidRPr="009E2760" w:rsidRDefault="00F71ACC" w:rsidP="00F71ACC">
            <w:pPr>
              <w:tabs>
                <w:tab w:val="left" w:pos="4111"/>
              </w:tabs>
              <w:spacing w:before="40" w:after="40"/>
              <w:ind w:left="227" w:hanging="170"/>
              <w:rPr>
                <w:rFonts w:asciiTheme="minorHAnsi" w:hAnsiTheme="minorHAnsi"/>
                <w:szCs w:val="22"/>
              </w:rPr>
            </w:pPr>
            <w:r w:rsidRPr="009E2760">
              <w:rPr>
                <w:rFonts w:asciiTheme="minorHAnsi" w:hAnsiTheme="minorHAnsi"/>
                <w:szCs w:val="22"/>
              </w:rPr>
              <w:t xml:space="preserve">+41 22 730 </w:t>
            </w:r>
            <w:r w:rsidR="009F0037" w:rsidRPr="009E2760">
              <w:rPr>
                <w:rFonts w:asciiTheme="minorHAnsi" w:hAnsiTheme="minorHAnsi"/>
                <w:szCs w:val="22"/>
              </w:rPr>
              <w:t>5415</w:t>
            </w:r>
          </w:p>
        </w:tc>
        <w:tc>
          <w:tcPr>
            <w:tcW w:w="4896" w:type="dxa"/>
            <w:gridSpan w:val="2"/>
            <w:vMerge/>
          </w:tcPr>
          <w:p w14:paraId="612C265A" w14:textId="77777777" w:rsidR="00F71ACC" w:rsidRPr="009E2760" w:rsidRDefault="00F71ACC" w:rsidP="00C17596">
            <w:pPr>
              <w:spacing w:before="0"/>
              <w:ind w:left="226" w:hanging="169"/>
              <w:rPr>
                <w:rFonts w:asciiTheme="minorHAnsi" w:hAnsiTheme="minorHAnsi"/>
              </w:rPr>
            </w:pPr>
          </w:p>
        </w:tc>
      </w:tr>
      <w:tr w:rsidR="00F71ACC" w:rsidRPr="009E2760" w14:paraId="2A8198F9" w14:textId="77777777" w:rsidTr="005A4EFA">
        <w:trPr>
          <w:gridBefore w:val="1"/>
          <w:wBefore w:w="8" w:type="dxa"/>
          <w:cantSplit/>
        </w:trPr>
        <w:tc>
          <w:tcPr>
            <w:tcW w:w="985" w:type="dxa"/>
          </w:tcPr>
          <w:p w14:paraId="1F7E1046" w14:textId="3FEF786F" w:rsidR="00F71ACC" w:rsidRPr="009E2760" w:rsidRDefault="005A4EFA" w:rsidP="00F71ACC">
            <w:pPr>
              <w:tabs>
                <w:tab w:val="left" w:pos="4111"/>
              </w:tabs>
              <w:spacing w:before="40" w:after="40"/>
              <w:ind w:left="57"/>
              <w:rPr>
                <w:rFonts w:asciiTheme="minorHAnsi" w:hAnsiTheme="minorHAnsi"/>
              </w:rPr>
            </w:pPr>
            <w:proofErr w:type="gramStart"/>
            <w:r w:rsidRPr="009E2760">
              <w:rPr>
                <w:rFonts w:asciiTheme="minorHAnsi" w:hAnsiTheme="minorHAnsi"/>
              </w:rPr>
              <w:t>Télécopie:</w:t>
            </w:r>
            <w:proofErr w:type="gramEnd"/>
          </w:p>
        </w:tc>
        <w:tc>
          <w:tcPr>
            <w:tcW w:w="3892" w:type="dxa"/>
            <w:gridSpan w:val="2"/>
          </w:tcPr>
          <w:p w14:paraId="424307CD" w14:textId="77777777" w:rsidR="00F71ACC" w:rsidRPr="009E2760" w:rsidRDefault="00F71ACC" w:rsidP="00F71ACC">
            <w:pPr>
              <w:tabs>
                <w:tab w:val="left" w:pos="4111"/>
              </w:tabs>
              <w:spacing w:before="40" w:after="40"/>
              <w:ind w:left="227" w:hanging="170"/>
              <w:rPr>
                <w:rFonts w:asciiTheme="minorHAnsi" w:hAnsiTheme="minorHAnsi"/>
              </w:rPr>
            </w:pPr>
            <w:r w:rsidRPr="009E2760">
              <w:rPr>
                <w:rFonts w:asciiTheme="minorHAnsi" w:hAnsiTheme="minorHAnsi"/>
              </w:rPr>
              <w:t>+41 22 730 5853</w:t>
            </w:r>
          </w:p>
        </w:tc>
        <w:tc>
          <w:tcPr>
            <w:tcW w:w="4896" w:type="dxa"/>
            <w:gridSpan w:val="2"/>
            <w:vMerge/>
          </w:tcPr>
          <w:p w14:paraId="208F0A0F" w14:textId="77777777" w:rsidR="00F71ACC" w:rsidRPr="009E2760"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9E2760" w14:paraId="2917AD1D" w14:textId="77777777" w:rsidTr="005A4EFA">
        <w:trPr>
          <w:gridBefore w:val="1"/>
          <w:wBefore w:w="8" w:type="dxa"/>
          <w:cantSplit/>
        </w:trPr>
        <w:tc>
          <w:tcPr>
            <w:tcW w:w="985" w:type="dxa"/>
          </w:tcPr>
          <w:p w14:paraId="48D652C9" w14:textId="5D93CD3E" w:rsidR="00F71ACC" w:rsidRPr="009E2760" w:rsidRDefault="005A4EFA" w:rsidP="00F71ACC">
            <w:pPr>
              <w:tabs>
                <w:tab w:val="left" w:pos="4111"/>
              </w:tabs>
              <w:spacing w:before="40" w:after="40"/>
              <w:ind w:left="57"/>
              <w:rPr>
                <w:rFonts w:asciiTheme="minorHAnsi" w:hAnsiTheme="minorHAnsi"/>
              </w:rPr>
            </w:pPr>
            <w:proofErr w:type="gramStart"/>
            <w:r w:rsidRPr="009E2760">
              <w:rPr>
                <w:rFonts w:asciiTheme="minorHAnsi" w:hAnsiTheme="minorHAnsi"/>
              </w:rPr>
              <w:t>Courriel</w:t>
            </w:r>
            <w:r w:rsidR="00F71ACC" w:rsidRPr="009E2760">
              <w:rPr>
                <w:rFonts w:asciiTheme="minorHAnsi" w:hAnsiTheme="minorHAnsi"/>
              </w:rPr>
              <w:t>:</w:t>
            </w:r>
            <w:proofErr w:type="gramEnd"/>
          </w:p>
        </w:tc>
        <w:tc>
          <w:tcPr>
            <w:tcW w:w="3892" w:type="dxa"/>
            <w:gridSpan w:val="2"/>
          </w:tcPr>
          <w:p w14:paraId="6132CA0D" w14:textId="6DCA3BAD" w:rsidR="00F71ACC" w:rsidRPr="009E2760" w:rsidRDefault="00C52FFE" w:rsidP="00F71ACC">
            <w:pPr>
              <w:tabs>
                <w:tab w:val="left" w:pos="4111"/>
              </w:tabs>
              <w:spacing w:before="40" w:after="40"/>
              <w:ind w:left="227" w:hanging="170"/>
            </w:pPr>
            <w:hyperlink r:id="rId9" w:history="1">
              <w:r w:rsidR="00F83DB5" w:rsidRPr="009E2760">
                <w:rPr>
                  <w:rStyle w:val="Hyperlink"/>
                  <w:rFonts w:asciiTheme="minorHAnsi" w:hAnsiTheme="minorHAnsi"/>
                </w:rPr>
                <w:t>tsbsg2@itu.int</w:t>
              </w:r>
            </w:hyperlink>
          </w:p>
        </w:tc>
        <w:tc>
          <w:tcPr>
            <w:tcW w:w="4896" w:type="dxa"/>
            <w:gridSpan w:val="2"/>
            <w:vMerge/>
          </w:tcPr>
          <w:p w14:paraId="747E372D" w14:textId="77777777" w:rsidR="00F71ACC" w:rsidRPr="009E2760"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9E2760" w14:paraId="1F7B2EC3" w14:textId="77777777" w:rsidTr="005A4EFA">
        <w:trPr>
          <w:gridBefore w:val="1"/>
          <w:wBefore w:w="8" w:type="dxa"/>
          <w:cantSplit/>
        </w:trPr>
        <w:tc>
          <w:tcPr>
            <w:tcW w:w="985" w:type="dxa"/>
          </w:tcPr>
          <w:p w14:paraId="0C58FD71" w14:textId="77777777" w:rsidR="00F71ACC" w:rsidRPr="009E2760" w:rsidRDefault="00F71ACC" w:rsidP="00F71ACC">
            <w:pPr>
              <w:tabs>
                <w:tab w:val="left" w:pos="4111"/>
              </w:tabs>
              <w:spacing w:before="40" w:after="40"/>
              <w:ind w:left="57"/>
              <w:rPr>
                <w:rFonts w:asciiTheme="minorHAnsi" w:hAnsiTheme="minorHAnsi"/>
              </w:rPr>
            </w:pPr>
            <w:proofErr w:type="gramStart"/>
            <w:r w:rsidRPr="009E2760">
              <w:rPr>
                <w:rFonts w:asciiTheme="minorHAnsi" w:hAnsiTheme="minorHAnsi"/>
              </w:rPr>
              <w:t>Web:</w:t>
            </w:r>
            <w:proofErr w:type="gramEnd"/>
          </w:p>
        </w:tc>
        <w:tc>
          <w:tcPr>
            <w:tcW w:w="3892" w:type="dxa"/>
            <w:gridSpan w:val="2"/>
          </w:tcPr>
          <w:p w14:paraId="4CFF8B9A" w14:textId="6D0D61DC" w:rsidR="00F71ACC" w:rsidRPr="009E2760" w:rsidRDefault="00C52FFE" w:rsidP="00F71ACC">
            <w:pPr>
              <w:tabs>
                <w:tab w:val="left" w:pos="4111"/>
              </w:tabs>
              <w:spacing w:before="40" w:after="40"/>
              <w:ind w:left="227" w:hanging="170"/>
              <w:rPr>
                <w:rStyle w:val="Hyperlink"/>
              </w:rPr>
            </w:pPr>
            <w:hyperlink r:id="rId10" w:history="1">
              <w:r w:rsidR="00F83DB5" w:rsidRPr="009E2760">
                <w:rPr>
                  <w:rStyle w:val="Hyperlink"/>
                </w:rPr>
                <w:t>itu.int/en/ITU-T/regionalgroups/sg02-afr</w:t>
              </w:r>
            </w:hyperlink>
          </w:p>
        </w:tc>
        <w:tc>
          <w:tcPr>
            <w:tcW w:w="4896" w:type="dxa"/>
            <w:gridSpan w:val="2"/>
            <w:vMerge/>
          </w:tcPr>
          <w:p w14:paraId="029B6B97" w14:textId="77777777" w:rsidR="00F71ACC" w:rsidRPr="009E2760"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9E2760" w14:paraId="39020030" w14:textId="77777777" w:rsidTr="005A4EFA">
        <w:trPr>
          <w:gridBefore w:val="1"/>
          <w:wBefore w:w="8" w:type="dxa"/>
          <w:cantSplit/>
        </w:trPr>
        <w:tc>
          <w:tcPr>
            <w:tcW w:w="985" w:type="dxa"/>
          </w:tcPr>
          <w:p w14:paraId="53BDBD71" w14:textId="77777777" w:rsidR="00AC5975" w:rsidRPr="009E2760" w:rsidRDefault="00AC5975" w:rsidP="009F0037">
            <w:pPr>
              <w:tabs>
                <w:tab w:val="left" w:pos="4111"/>
              </w:tabs>
              <w:spacing w:after="40"/>
              <w:ind w:left="57"/>
              <w:rPr>
                <w:rFonts w:asciiTheme="minorHAnsi" w:hAnsiTheme="minorHAnsi"/>
                <w:sz w:val="20"/>
              </w:rPr>
            </w:pPr>
            <w:proofErr w:type="gramStart"/>
            <w:r w:rsidRPr="009E2760">
              <w:rPr>
                <w:rFonts w:asciiTheme="minorHAnsi" w:hAnsiTheme="minorHAnsi"/>
              </w:rPr>
              <w:t>Objet:</w:t>
            </w:r>
            <w:proofErr w:type="gramEnd"/>
          </w:p>
        </w:tc>
        <w:tc>
          <w:tcPr>
            <w:tcW w:w="8788" w:type="dxa"/>
            <w:gridSpan w:val="4"/>
          </w:tcPr>
          <w:p w14:paraId="31197749" w14:textId="005766D3" w:rsidR="00AC5975" w:rsidRPr="009E2760" w:rsidRDefault="009F0037" w:rsidP="009F0037">
            <w:pPr>
              <w:tabs>
                <w:tab w:val="left" w:pos="4111"/>
              </w:tabs>
              <w:spacing w:after="40"/>
              <w:ind w:left="57"/>
              <w:rPr>
                <w:rFonts w:asciiTheme="minorHAnsi" w:hAnsiTheme="minorHAnsi"/>
              </w:rPr>
            </w:pPr>
            <w:r w:rsidRPr="009E2760">
              <w:rPr>
                <w:rFonts w:asciiTheme="minorHAnsi" w:hAnsiTheme="minorHAnsi"/>
                <w:b/>
                <w:bCs/>
              </w:rPr>
              <w:t xml:space="preserve">Réunion du Groupe régional de la CE 2 de l'UIT-T pour l'Afrique (SG2RG-AFR) </w:t>
            </w:r>
            <w:r w:rsidRPr="009E2760">
              <w:rPr>
                <w:rFonts w:asciiTheme="minorHAnsi" w:hAnsiTheme="minorHAnsi"/>
                <w:b/>
                <w:bCs/>
              </w:rPr>
              <w:br/>
              <w:t>(réunion virtuelle, 17-18 janvier 2023)</w:t>
            </w:r>
          </w:p>
        </w:tc>
      </w:tr>
    </w:tbl>
    <w:p w14:paraId="1CCE1505" w14:textId="77777777" w:rsidR="00AC5975" w:rsidRPr="009E2760" w:rsidRDefault="00AC5975" w:rsidP="00C17596">
      <w:pPr>
        <w:pStyle w:val="ITUintr"/>
        <w:tabs>
          <w:tab w:val="clear" w:pos="737"/>
          <w:tab w:val="clear" w:pos="1134"/>
          <w:tab w:val="left" w:pos="794"/>
        </w:tabs>
        <w:spacing w:before="120"/>
        <w:ind w:right="92"/>
        <w:rPr>
          <w:rFonts w:asciiTheme="minorHAnsi" w:hAnsiTheme="minorHAnsi"/>
          <w:sz w:val="22"/>
          <w:szCs w:val="18"/>
        </w:rPr>
      </w:pPr>
      <w:r w:rsidRPr="009E2760">
        <w:rPr>
          <w:rFonts w:asciiTheme="minorHAnsi" w:hAnsiTheme="minorHAnsi"/>
          <w:sz w:val="22"/>
          <w:szCs w:val="18"/>
        </w:rPr>
        <w:t>Madame, Monsieur,</w:t>
      </w:r>
    </w:p>
    <w:p w14:paraId="2AAAE9B6" w14:textId="3443A1E0" w:rsidR="009F0037" w:rsidRPr="009F0037" w:rsidRDefault="009F0037" w:rsidP="009F0037">
      <w:pPr>
        <w:rPr>
          <w:rFonts w:asciiTheme="minorHAnsi" w:hAnsiTheme="minorHAnsi"/>
        </w:rPr>
      </w:pPr>
      <w:bookmarkStart w:id="0" w:name="suitetext"/>
      <w:bookmarkEnd w:id="0"/>
      <w:r w:rsidRPr="009F0037">
        <w:rPr>
          <w:rFonts w:asciiTheme="minorHAnsi" w:hAnsiTheme="minorHAnsi"/>
        </w:rPr>
        <w:t xml:space="preserve">J'ai l'honneur de vous inviter à participer à la </w:t>
      </w:r>
      <w:r w:rsidRPr="009F0037">
        <w:rPr>
          <w:rFonts w:asciiTheme="minorHAnsi" w:hAnsiTheme="minorHAnsi"/>
          <w:b/>
          <w:bCs/>
        </w:rPr>
        <w:t>réunion du Groupe régional de la Commission d'études 2 de l'UIT-T pour l'Afrique (SG2RG-AFR)</w:t>
      </w:r>
      <w:r w:rsidRPr="009F0037">
        <w:rPr>
          <w:rFonts w:asciiTheme="minorHAnsi" w:hAnsiTheme="minorHAnsi"/>
        </w:rPr>
        <w:t>, qui doit se dérouler de manière entièrement virtuelle les 17 et 18</w:t>
      </w:r>
      <w:r w:rsidR="00F83DB5" w:rsidRPr="009E2760">
        <w:rPr>
          <w:rFonts w:asciiTheme="minorHAnsi" w:hAnsiTheme="minorHAnsi"/>
        </w:rPr>
        <w:t> </w:t>
      </w:r>
      <w:r w:rsidRPr="009F0037">
        <w:rPr>
          <w:rFonts w:asciiTheme="minorHAnsi" w:hAnsiTheme="minorHAnsi"/>
        </w:rPr>
        <w:t>janvier 2023. Les participants sont invités à soumettre des contributions, en particulier sur les sujets d'intérêt identifiés à la réunion précédente du Groupe régional (réunion virtuelle, 17 mai 2021) (</w:t>
      </w:r>
      <w:hyperlink r:id="rId11" w:history="1">
        <w:r w:rsidRPr="009F0037">
          <w:rPr>
            <w:rStyle w:val="Hyperlink"/>
            <w:rFonts w:asciiTheme="minorHAnsi" w:hAnsiTheme="minorHAnsi"/>
          </w:rPr>
          <w:t>Document</w:t>
        </w:r>
        <w:r w:rsidR="00F83DB5" w:rsidRPr="009E2760">
          <w:rPr>
            <w:rStyle w:val="Hyperlink"/>
            <w:rFonts w:asciiTheme="minorHAnsi" w:hAnsiTheme="minorHAnsi"/>
          </w:rPr>
          <w:t> </w:t>
        </w:r>
        <w:r w:rsidRPr="009F0037">
          <w:rPr>
            <w:rStyle w:val="Hyperlink"/>
            <w:rFonts w:asciiTheme="minorHAnsi" w:hAnsiTheme="minorHAnsi"/>
          </w:rPr>
          <w:t>SG2RG-AFR-TD126</w:t>
        </w:r>
      </w:hyperlink>
      <w:r w:rsidRPr="009F0037">
        <w:rPr>
          <w:rFonts w:asciiTheme="minorHAnsi" w:hAnsiTheme="minorHAnsi"/>
        </w:rPr>
        <w:t xml:space="preserve">). Une formation sera dispensée et des exposés seront présentés sur un certain nombre de ces sujets, </w:t>
      </w:r>
      <w:proofErr w:type="gramStart"/>
      <w:r w:rsidRPr="009F0037">
        <w:rPr>
          <w:rFonts w:asciiTheme="minorHAnsi" w:hAnsiTheme="minorHAnsi"/>
        </w:rPr>
        <w:t>notamment:</w:t>
      </w:r>
      <w:proofErr w:type="gramEnd"/>
    </w:p>
    <w:p w14:paraId="79D4A4BC" w14:textId="57D83947" w:rsidR="009F0037" w:rsidRPr="009E2760" w:rsidRDefault="009F0037" w:rsidP="009F0037">
      <w:pPr>
        <w:pStyle w:val="enumlev1"/>
      </w:pPr>
      <w:r w:rsidRPr="009E2760">
        <w:t>–</w:t>
      </w:r>
      <w:r w:rsidRPr="009E2760">
        <w:tab/>
        <w:t xml:space="preserve">gestion des ressources de </w:t>
      </w:r>
      <w:proofErr w:type="gramStart"/>
      <w:r w:rsidRPr="009E2760">
        <w:t>numérotage;</w:t>
      </w:r>
      <w:proofErr w:type="gramEnd"/>
    </w:p>
    <w:p w14:paraId="6DC0B449" w14:textId="0FEA4FFA" w:rsidR="009F0037" w:rsidRPr="009E2760" w:rsidRDefault="009F0037" w:rsidP="009F0037">
      <w:pPr>
        <w:pStyle w:val="enumlev1"/>
      </w:pPr>
      <w:r w:rsidRPr="009E2760">
        <w:t>–</w:t>
      </w:r>
      <w:r w:rsidRPr="009E2760">
        <w:tab/>
        <w:t xml:space="preserve">plans nationaux de numérotage/numéros </w:t>
      </w:r>
      <w:proofErr w:type="gramStart"/>
      <w:r w:rsidRPr="009E2760">
        <w:t>courts;</w:t>
      </w:r>
      <w:proofErr w:type="gramEnd"/>
    </w:p>
    <w:p w14:paraId="14D13541" w14:textId="2B0AE371" w:rsidR="009F0037" w:rsidRPr="009E2760" w:rsidRDefault="009F0037" w:rsidP="009F0037">
      <w:pPr>
        <w:pStyle w:val="enumlev1"/>
      </w:pPr>
      <w:r w:rsidRPr="009E2760">
        <w:t>–</w:t>
      </w:r>
      <w:r w:rsidRPr="009E2760">
        <w:tab/>
        <w:t>mesures de lutte contre la fraude.</w:t>
      </w:r>
    </w:p>
    <w:p w14:paraId="38F4C545" w14:textId="77777777" w:rsidR="009F0037" w:rsidRPr="009F0037" w:rsidRDefault="009F0037" w:rsidP="009F0037">
      <w:pPr>
        <w:rPr>
          <w:rFonts w:asciiTheme="minorHAnsi" w:hAnsiTheme="minorHAnsi"/>
        </w:rPr>
      </w:pPr>
      <w:r w:rsidRPr="009F0037">
        <w:rPr>
          <w:rFonts w:asciiTheme="minorHAnsi" w:hAnsiTheme="minorHAnsi"/>
        </w:rPr>
        <w:t>La réunion du Groupe SG2RG-AFR s'ouvrira à 11 heures (heure de Genève) le mardi 17 janvier 2023 via l'</w:t>
      </w:r>
      <w:hyperlink r:id="rId12" w:history="1">
        <w:r w:rsidRPr="009F0037">
          <w:rPr>
            <w:rStyle w:val="Hyperlink"/>
            <w:rFonts w:asciiTheme="minorHAnsi" w:hAnsiTheme="minorHAnsi"/>
          </w:rPr>
          <w:t>outil de participation à distance MyMeetings</w:t>
        </w:r>
      </w:hyperlink>
      <w:r w:rsidRPr="009F0037">
        <w:rPr>
          <w:rFonts w:asciiTheme="minorHAnsi" w:hAnsiTheme="minorHAnsi"/>
        </w:rPr>
        <w:t>. Des informations pratiques seront mises à jour sur la page web du Groupe SG2RG-AFR (</w:t>
      </w:r>
      <w:hyperlink r:id="rId13" w:history="1">
        <w:r w:rsidRPr="009F0037">
          <w:rPr>
            <w:rStyle w:val="Hyperlink"/>
            <w:rFonts w:asciiTheme="minorHAnsi" w:hAnsiTheme="minorHAnsi"/>
          </w:rPr>
          <w:t>http://www.itu.int/en/ITU-T/regionalgroups/sg02-afr</w:t>
        </w:r>
      </w:hyperlink>
      <w:r w:rsidRPr="009F0037">
        <w:rPr>
          <w:rFonts w:asciiTheme="minorHAnsi" w:hAnsiTheme="minorHAnsi"/>
        </w:rPr>
        <w:t>).</w:t>
      </w:r>
    </w:p>
    <w:p w14:paraId="2140CCEC" w14:textId="77777777" w:rsidR="009F0037" w:rsidRPr="009F0037" w:rsidRDefault="009F0037" w:rsidP="009F0037">
      <w:pPr>
        <w:rPr>
          <w:rFonts w:asciiTheme="minorHAnsi" w:hAnsiTheme="minorHAnsi"/>
        </w:rPr>
      </w:pPr>
      <w:r w:rsidRPr="009F0037">
        <w:rPr>
          <w:rFonts w:asciiTheme="minorHAnsi" w:hAnsiTheme="minorHAnsi"/>
        </w:rPr>
        <w:t xml:space="preserve">Les droits de participation à la réunion du Groupe SG2RG-AFR sont définis aux points 4, 5 et 6 du </w:t>
      </w:r>
      <w:r w:rsidRPr="009F0037">
        <w:rPr>
          <w:rFonts w:asciiTheme="minorHAnsi" w:hAnsiTheme="minorHAnsi"/>
          <w:i/>
          <w:iCs/>
        </w:rPr>
        <w:t>décide</w:t>
      </w:r>
      <w:r w:rsidRPr="009F0037">
        <w:rPr>
          <w:rFonts w:asciiTheme="minorHAnsi" w:hAnsiTheme="minorHAnsi"/>
        </w:rPr>
        <w:t xml:space="preserve"> de la Résolution 54 de l'AMNT (Rév. Genève 2022). La participation suivie serait utile aux travaux du groupe. Veuillez noter que l'inscription est obligatoire pour pouvoir participer à cette réunion.</w:t>
      </w:r>
    </w:p>
    <w:p w14:paraId="4E023FF1" w14:textId="46AB083B" w:rsidR="009F0037" w:rsidRPr="009F0037" w:rsidRDefault="009F0037" w:rsidP="009F0037">
      <w:pPr>
        <w:rPr>
          <w:rFonts w:asciiTheme="minorHAnsi" w:hAnsiTheme="minorHAnsi"/>
        </w:rPr>
      </w:pPr>
      <w:r w:rsidRPr="009F0037">
        <w:rPr>
          <w:rFonts w:asciiTheme="minorHAnsi" w:hAnsiTheme="minorHAnsi"/>
        </w:rPr>
        <w:t>La réunion se tiendra en anglais sans interprétation. Des renseignements complémentaires sont donnés dans l'</w:t>
      </w:r>
      <w:r w:rsidRPr="009F0037">
        <w:rPr>
          <w:rFonts w:asciiTheme="minorHAnsi" w:hAnsiTheme="minorHAnsi"/>
          <w:b/>
          <w:bCs/>
        </w:rPr>
        <w:t>Annexe A</w:t>
      </w:r>
      <w:r w:rsidRPr="009F0037">
        <w:rPr>
          <w:rFonts w:asciiTheme="minorHAnsi" w:hAnsiTheme="minorHAnsi"/>
        </w:rPr>
        <w:t xml:space="preserve"> et un projet d'ordre du jour, établi par la Présidente du Groupe SG2RG-AFR, Mme</w:t>
      </w:r>
      <w:r w:rsidR="00F83DB5" w:rsidRPr="009E2760">
        <w:rPr>
          <w:rFonts w:asciiTheme="minorHAnsi" w:hAnsiTheme="minorHAnsi"/>
        </w:rPr>
        <w:t> </w:t>
      </w:r>
      <w:r w:rsidRPr="009F0037">
        <w:rPr>
          <w:rFonts w:asciiTheme="minorHAnsi" w:hAnsiTheme="minorHAnsi"/>
        </w:rPr>
        <w:t>Susan</w:t>
      </w:r>
      <w:r w:rsidR="00F83DB5" w:rsidRPr="009E2760">
        <w:rPr>
          <w:rFonts w:asciiTheme="minorHAnsi" w:hAnsiTheme="minorHAnsi"/>
        </w:rPr>
        <w:t> </w:t>
      </w:r>
      <w:r w:rsidRPr="009F0037">
        <w:rPr>
          <w:rFonts w:asciiTheme="minorHAnsi" w:hAnsiTheme="minorHAnsi"/>
        </w:rPr>
        <w:t>Nakanwagi (Ouganda), figure dans l'</w:t>
      </w:r>
      <w:r w:rsidRPr="009F0037">
        <w:rPr>
          <w:rFonts w:asciiTheme="minorHAnsi" w:hAnsiTheme="minorHAnsi"/>
          <w:b/>
          <w:bCs/>
        </w:rPr>
        <w:t>Annexe B</w:t>
      </w:r>
      <w:r w:rsidRPr="009F0037">
        <w:rPr>
          <w:rFonts w:asciiTheme="minorHAnsi" w:hAnsiTheme="minorHAnsi"/>
        </w:rPr>
        <w:t xml:space="preserve">. </w:t>
      </w:r>
    </w:p>
    <w:p w14:paraId="1D2272A2" w14:textId="77777777" w:rsidR="00815A6F" w:rsidRPr="009E2760" w:rsidRDefault="00815A6F" w:rsidP="00815A6F">
      <w:pPr>
        <w:pStyle w:val="headingb"/>
        <w:spacing w:after="120"/>
        <w:rPr>
          <w:rFonts w:asciiTheme="minorHAnsi" w:hAnsiTheme="minorHAnsi"/>
        </w:rPr>
      </w:pPr>
      <w:r w:rsidRPr="009E2760">
        <w:rPr>
          <w:rFonts w:asciiTheme="minorHAnsi" w:hAnsiTheme="minorHAnsi"/>
        </w:rPr>
        <w:t xml:space="preserve">Principales </w:t>
      </w:r>
      <w:proofErr w:type="gramStart"/>
      <w:r w:rsidRPr="009E2760">
        <w:rPr>
          <w:rFonts w:asciiTheme="minorHAnsi" w:hAnsiTheme="minorHAnsi"/>
        </w:rPr>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9F0037" w:rsidRPr="009E2760" w14:paraId="6CC7D33B" w14:textId="77777777" w:rsidTr="009F0037">
        <w:trPr>
          <w:trHeight w:val="1503"/>
        </w:trPr>
        <w:tc>
          <w:tcPr>
            <w:tcW w:w="1980" w:type="dxa"/>
            <w:shd w:val="clear" w:color="auto" w:fill="auto"/>
            <w:vAlign w:val="center"/>
          </w:tcPr>
          <w:p w14:paraId="4D948392" w14:textId="62C0DB94" w:rsidR="009F0037" w:rsidRPr="009E2760" w:rsidRDefault="009F0037" w:rsidP="009F0037">
            <w:pPr>
              <w:pStyle w:val="TableText"/>
              <w:rPr>
                <w:rFonts w:asciiTheme="minorHAnsi" w:hAnsiTheme="minorHAnsi"/>
              </w:rPr>
            </w:pPr>
            <w:r w:rsidRPr="009E2760">
              <w:t>17 décembre 2022</w:t>
            </w:r>
          </w:p>
        </w:tc>
        <w:tc>
          <w:tcPr>
            <w:tcW w:w="7649" w:type="dxa"/>
            <w:shd w:val="clear" w:color="auto" w:fill="auto"/>
            <w:vAlign w:val="center"/>
          </w:tcPr>
          <w:p w14:paraId="3C4D0DD0" w14:textId="63F9DDE4" w:rsidR="009F0037" w:rsidRPr="009E2760" w:rsidRDefault="009F0037" w:rsidP="009F0037">
            <w:pPr>
              <w:pStyle w:val="TableText"/>
              <w:ind w:left="284" w:hanging="284"/>
              <w:rPr>
                <w:rFonts w:asciiTheme="minorHAnsi" w:hAnsiTheme="minorHAnsi"/>
              </w:rPr>
            </w:pPr>
            <w:r w:rsidRPr="009E2760">
              <w:rPr>
                <w:rFonts w:asciiTheme="minorHAnsi" w:hAnsiTheme="minorHAnsi"/>
              </w:rPr>
              <w:t>–</w:t>
            </w:r>
            <w:r w:rsidRPr="009E2760">
              <w:rPr>
                <w:rFonts w:asciiTheme="minorHAnsi" w:hAnsiTheme="minorHAnsi"/>
              </w:rPr>
              <w:tab/>
            </w:r>
            <w:r w:rsidRPr="009E2760">
              <w:t>Soumission des contributions des Membres de l'UIT</w:t>
            </w:r>
            <w:r w:rsidRPr="009E2760">
              <w:noBreakHyphen/>
              <w:t>T</w:t>
            </w:r>
            <w:r w:rsidRPr="009E2760">
              <w:rPr>
                <w:rFonts w:asciiTheme="minorHAnsi" w:hAnsiTheme="minorHAnsi"/>
              </w:rPr>
              <w:t xml:space="preserve"> pour lesquelles une traduction est demandée.</w:t>
            </w:r>
          </w:p>
          <w:p w14:paraId="7317BB1A" w14:textId="77777777" w:rsidR="009F0037" w:rsidRPr="009E2760" w:rsidRDefault="009F0037" w:rsidP="009F0037">
            <w:pPr>
              <w:pStyle w:val="TableText"/>
              <w:ind w:left="284" w:hanging="284"/>
              <w:rPr>
                <w:rFonts w:asciiTheme="minorHAnsi" w:hAnsiTheme="minorHAnsi"/>
              </w:rPr>
            </w:pPr>
            <w:r w:rsidRPr="009E2760">
              <w:rPr>
                <w:rFonts w:asciiTheme="minorHAnsi" w:hAnsiTheme="minorHAnsi"/>
              </w:rPr>
              <w:t>–</w:t>
            </w:r>
            <w:r w:rsidRPr="009E2760">
              <w:rPr>
                <w:rFonts w:asciiTheme="minorHAnsi" w:hAnsiTheme="minorHAnsi"/>
              </w:rPr>
              <w:tab/>
              <w:t xml:space="preserve">Soumission des demandes de bourses pour la participation à une réunion électronique (au moyen du </w:t>
            </w:r>
            <w:hyperlink r:id="rId14" w:history="1">
              <w:r w:rsidRPr="009E2760">
                <w:rPr>
                  <w:rStyle w:val="Hyperlink"/>
                  <w:rFonts w:asciiTheme="minorHAnsi" w:hAnsiTheme="minorHAnsi"/>
                </w:rPr>
                <w:t>formulaire en ligne</w:t>
              </w:r>
            </w:hyperlink>
            <w:r w:rsidRPr="009E2760">
              <w:rPr>
                <w:rFonts w:asciiTheme="minorHAnsi" w:hAnsiTheme="minorHAnsi"/>
              </w:rPr>
              <w:t>, voir l'Annexe A).</w:t>
            </w:r>
          </w:p>
          <w:p w14:paraId="55886642" w14:textId="0EB95F53" w:rsidR="009F0037" w:rsidRPr="009E2760" w:rsidRDefault="009F0037" w:rsidP="009F0037">
            <w:pPr>
              <w:pStyle w:val="TableText"/>
              <w:ind w:left="284" w:hanging="284"/>
              <w:rPr>
                <w:rFonts w:asciiTheme="minorHAnsi" w:hAnsiTheme="minorHAnsi"/>
              </w:rPr>
            </w:pPr>
            <w:r w:rsidRPr="009E2760">
              <w:rPr>
                <w:rFonts w:asciiTheme="minorHAnsi" w:hAnsiTheme="minorHAnsi"/>
              </w:rPr>
              <w:t>–</w:t>
            </w:r>
            <w:r w:rsidR="00F83DB5" w:rsidRPr="009E2760">
              <w:rPr>
                <w:rFonts w:asciiTheme="minorHAnsi" w:hAnsiTheme="minorHAnsi"/>
              </w:rPr>
              <w:tab/>
            </w:r>
            <w:r w:rsidRPr="009E2760">
              <w:rPr>
                <w:rFonts w:asciiTheme="minorHAnsi" w:hAnsiTheme="minorHAnsi"/>
              </w:rPr>
              <w:t xml:space="preserve">Inscription préalable (en ligne depuis la </w:t>
            </w:r>
            <w:hyperlink r:id="rId15" w:history="1">
              <w:r w:rsidRPr="009E2760">
                <w:rPr>
                  <w:rStyle w:val="Hyperlink"/>
                  <w:rFonts w:asciiTheme="minorHAnsi" w:hAnsiTheme="minorHAnsi"/>
                </w:rPr>
                <w:t>page d'accueil du groupe régional</w:t>
              </w:r>
            </w:hyperlink>
            <w:r w:rsidRPr="009E2760">
              <w:rPr>
                <w:rFonts w:asciiTheme="minorHAnsi" w:hAnsiTheme="minorHAnsi"/>
              </w:rPr>
              <w:t>).</w:t>
            </w:r>
          </w:p>
        </w:tc>
      </w:tr>
      <w:tr w:rsidR="00815A6F" w:rsidRPr="009E2760" w14:paraId="7D54E900" w14:textId="77777777" w:rsidTr="009F0037">
        <w:tc>
          <w:tcPr>
            <w:tcW w:w="1980" w:type="dxa"/>
            <w:shd w:val="clear" w:color="auto" w:fill="auto"/>
            <w:vAlign w:val="center"/>
          </w:tcPr>
          <w:p w14:paraId="67E7516E" w14:textId="094CCF7E" w:rsidR="00815A6F" w:rsidRPr="009E2760" w:rsidRDefault="009F0037" w:rsidP="002C58A4">
            <w:pPr>
              <w:pStyle w:val="TableText"/>
              <w:rPr>
                <w:rFonts w:asciiTheme="minorHAnsi" w:hAnsiTheme="minorHAnsi"/>
              </w:rPr>
            </w:pPr>
            <w:r w:rsidRPr="009E2760">
              <w:rPr>
                <w:rFonts w:asciiTheme="minorHAnsi" w:hAnsiTheme="minorHAnsi"/>
              </w:rPr>
              <w:t>4 janvier 2023</w:t>
            </w:r>
          </w:p>
        </w:tc>
        <w:tc>
          <w:tcPr>
            <w:tcW w:w="7649" w:type="dxa"/>
            <w:shd w:val="clear" w:color="auto" w:fill="auto"/>
            <w:vAlign w:val="center"/>
          </w:tcPr>
          <w:p w14:paraId="1F2F86D9" w14:textId="5492233E" w:rsidR="00815A6F" w:rsidRPr="009E2760" w:rsidRDefault="009F0037" w:rsidP="002C58A4">
            <w:pPr>
              <w:pStyle w:val="TableText"/>
              <w:ind w:left="284" w:hanging="284"/>
              <w:rPr>
                <w:rFonts w:asciiTheme="minorHAnsi" w:hAnsiTheme="minorHAnsi"/>
              </w:rPr>
            </w:pPr>
            <w:r w:rsidRPr="009E2760">
              <w:rPr>
                <w:rFonts w:asciiTheme="minorHAnsi" w:hAnsiTheme="minorHAnsi"/>
              </w:rPr>
              <w:t>–</w:t>
            </w:r>
            <w:r w:rsidRPr="009E2760">
              <w:rPr>
                <w:rFonts w:asciiTheme="minorHAnsi" w:hAnsiTheme="minorHAnsi"/>
              </w:rPr>
              <w:tab/>
              <w:t xml:space="preserve">Soumission des contributions des Membres de l'UIT-T (par courrier électronique à l'adresse </w:t>
            </w:r>
            <w:hyperlink r:id="rId16" w:history="1">
              <w:r w:rsidR="00F83DB5" w:rsidRPr="009E2760">
                <w:rPr>
                  <w:rStyle w:val="Hyperlink"/>
                  <w:rFonts w:asciiTheme="minorHAnsi" w:hAnsiTheme="minorHAnsi"/>
                </w:rPr>
                <w:t>tsbsg2@itu.int</w:t>
              </w:r>
            </w:hyperlink>
            <w:r w:rsidRPr="009E2760">
              <w:rPr>
                <w:rFonts w:asciiTheme="minorHAnsi" w:hAnsiTheme="minorHAnsi"/>
              </w:rPr>
              <w:t>)</w:t>
            </w:r>
            <w:r w:rsidR="00F83DB5" w:rsidRPr="009E2760">
              <w:rPr>
                <w:rFonts w:asciiTheme="minorHAnsi" w:hAnsiTheme="minorHAnsi"/>
              </w:rPr>
              <w:t>.</w:t>
            </w:r>
          </w:p>
        </w:tc>
      </w:tr>
    </w:tbl>
    <w:p w14:paraId="0BC3392F" w14:textId="77777777" w:rsidR="00815A6F" w:rsidRPr="009E2760" w:rsidRDefault="00815A6F" w:rsidP="00815A6F">
      <w:pPr>
        <w:rPr>
          <w:rFonts w:asciiTheme="minorHAnsi" w:hAnsiTheme="minorHAnsi"/>
        </w:rPr>
      </w:pPr>
      <w:r w:rsidRPr="009E2760">
        <w:rPr>
          <w:rFonts w:asciiTheme="minorHAnsi" w:hAnsiTheme="minorHAnsi"/>
        </w:rPr>
        <w:lastRenderedPageBreak/>
        <w:t>Je vous souhaite une réunion constructive et agréable.</w:t>
      </w:r>
    </w:p>
    <w:p w14:paraId="41C398C1" w14:textId="0A0F6658" w:rsidR="009109B3" w:rsidRPr="009E2760" w:rsidRDefault="00C52FFE" w:rsidP="009046D6">
      <w:pPr>
        <w:spacing w:after="60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0BD5F412" wp14:editId="07E65F21">
            <wp:simplePos x="0" y="0"/>
            <wp:positionH relativeFrom="column">
              <wp:posOffset>3810</wp:posOffset>
            </wp:positionH>
            <wp:positionV relativeFrom="paragraph">
              <wp:posOffset>375920</wp:posOffset>
            </wp:positionV>
            <wp:extent cx="571499" cy="428625"/>
            <wp:effectExtent l="0" t="0" r="63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815A6F" w:rsidRPr="009E2760">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1"/>
        <w:gridCol w:w="3093"/>
      </w:tblGrid>
      <w:tr w:rsidR="00815A6F" w:rsidRPr="009E2760" w14:paraId="21FECC37" w14:textId="77777777" w:rsidTr="002C58A4">
        <w:trPr>
          <w:cantSplit/>
          <w:trHeight w:val="1955"/>
        </w:trPr>
        <w:tc>
          <w:tcPr>
            <w:tcW w:w="6615" w:type="dxa"/>
            <w:vMerge w:val="restart"/>
            <w:tcBorders>
              <w:right w:val="single" w:sz="4" w:space="0" w:color="auto"/>
            </w:tcBorders>
          </w:tcPr>
          <w:p w14:paraId="427A49EE" w14:textId="7E947F8D" w:rsidR="00815A6F" w:rsidRPr="009E2760" w:rsidRDefault="00815A6F" w:rsidP="009046D6">
            <w:pPr>
              <w:spacing w:before="480"/>
              <w:ind w:left="-105"/>
              <w:rPr>
                <w:rFonts w:asciiTheme="minorHAnsi" w:hAnsiTheme="minorHAnsi"/>
              </w:rPr>
            </w:pPr>
            <w:r w:rsidRPr="009E2760">
              <w:rPr>
                <w:rFonts w:asciiTheme="minorHAnsi" w:hAnsiTheme="minorHAnsi"/>
              </w:rPr>
              <w:t>Chaesub Lee</w:t>
            </w:r>
            <w:r w:rsidRPr="009E2760">
              <w:rPr>
                <w:rFonts w:asciiTheme="minorHAnsi" w:hAnsiTheme="minorHAnsi"/>
              </w:rPr>
              <w:br/>
              <w:t xml:space="preserve">Directeur du Bureau de la normalisation </w:t>
            </w:r>
            <w:r w:rsidRPr="009E2760">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68731523" w14:textId="32E0C99E" w:rsidR="00815A6F" w:rsidRPr="009E2760" w:rsidRDefault="009109B3" w:rsidP="002C58A4">
            <w:pPr>
              <w:spacing w:before="0"/>
              <w:ind w:left="113" w:right="113"/>
              <w:jc w:val="center"/>
              <w:rPr>
                <w:rFonts w:asciiTheme="minorHAnsi" w:hAnsiTheme="minorHAnsi"/>
              </w:rPr>
            </w:pPr>
            <w:r w:rsidRPr="009E2760">
              <w:rPr>
                <w:noProof/>
              </w:rPr>
              <w:drawing>
                <wp:inline distT="0" distB="0" distL="0" distR="0" wp14:anchorId="78CAA471" wp14:editId="11137DF0">
                  <wp:extent cx="1157825" cy="116424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80933" cy="1187476"/>
                          </a:xfrm>
                          <a:prstGeom prst="rect">
                            <a:avLst/>
                          </a:prstGeom>
                        </pic:spPr>
                      </pic:pic>
                    </a:graphicData>
                  </a:graphic>
                </wp:inline>
              </w:drawing>
            </w:r>
            <w:r w:rsidRPr="009E2760">
              <w:rPr>
                <w:sz w:val="24"/>
              </w:rPr>
              <w:t xml:space="preserve"> </w:t>
            </w:r>
            <w:r w:rsidRPr="009E2760">
              <w:rPr>
                <w:rFonts w:asciiTheme="minorHAnsi" w:hAnsiTheme="minorHAnsi"/>
              </w:rPr>
              <w:t>Groupe SG2RG-AFR de l'UIT-T</w:t>
            </w:r>
          </w:p>
        </w:tc>
      </w:tr>
      <w:tr w:rsidR="00815A6F" w:rsidRPr="009E2760" w14:paraId="4E61CDDD" w14:textId="77777777" w:rsidTr="002C58A4">
        <w:trPr>
          <w:cantSplit/>
          <w:trHeight w:val="227"/>
        </w:trPr>
        <w:tc>
          <w:tcPr>
            <w:tcW w:w="6615" w:type="dxa"/>
            <w:vMerge/>
            <w:tcBorders>
              <w:right w:val="single" w:sz="4" w:space="0" w:color="auto"/>
            </w:tcBorders>
          </w:tcPr>
          <w:p w14:paraId="46ED0E0E" w14:textId="77777777" w:rsidR="00815A6F" w:rsidRPr="009E2760"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0F411225" w14:textId="77777777" w:rsidR="00815A6F" w:rsidRPr="009E2760" w:rsidRDefault="00815A6F" w:rsidP="002C58A4">
            <w:pPr>
              <w:spacing w:before="0"/>
              <w:jc w:val="center"/>
              <w:rPr>
                <w:rFonts w:asciiTheme="minorHAnsi" w:eastAsia="SimSun" w:hAnsiTheme="minorHAnsi" w:cs="Arial"/>
                <w:sz w:val="16"/>
                <w:szCs w:val="16"/>
                <w:lang w:eastAsia="zh-CN"/>
              </w:rPr>
            </w:pPr>
            <w:r w:rsidRPr="009E2760">
              <w:rPr>
                <w:rFonts w:asciiTheme="minorHAnsi" w:hAnsiTheme="minorHAnsi"/>
              </w:rPr>
              <w:t>Informations les plus récentes concernant la réunion</w:t>
            </w:r>
          </w:p>
        </w:tc>
      </w:tr>
    </w:tbl>
    <w:p w14:paraId="19236883" w14:textId="53B597E2" w:rsidR="00251CB1" w:rsidRPr="009E2760" w:rsidRDefault="00251CB1" w:rsidP="009046D6">
      <w:pPr>
        <w:rPr>
          <w:rFonts w:asciiTheme="minorHAnsi" w:hAnsiTheme="minorHAnsi"/>
        </w:rPr>
      </w:pPr>
      <w:proofErr w:type="gramStart"/>
      <w:r w:rsidRPr="009E2760">
        <w:rPr>
          <w:rFonts w:asciiTheme="minorHAnsi" w:hAnsiTheme="minorHAnsi"/>
          <w:b/>
          <w:bCs/>
        </w:rPr>
        <w:t>Annexes</w:t>
      </w:r>
      <w:r w:rsidRPr="009E2760">
        <w:rPr>
          <w:rFonts w:asciiTheme="minorHAnsi" w:hAnsiTheme="minorHAnsi"/>
          <w:bCs/>
        </w:rPr>
        <w:t>:</w:t>
      </w:r>
      <w:proofErr w:type="gramEnd"/>
      <w:r w:rsidRPr="009E2760">
        <w:rPr>
          <w:rFonts w:asciiTheme="minorHAnsi" w:hAnsiTheme="minorHAnsi"/>
          <w:bCs/>
        </w:rPr>
        <w:t xml:space="preserve"> </w:t>
      </w:r>
      <w:r w:rsidR="009109B3" w:rsidRPr="009E2760">
        <w:rPr>
          <w:rFonts w:asciiTheme="minorHAnsi" w:hAnsiTheme="minorHAnsi"/>
          <w:bCs/>
        </w:rPr>
        <w:t>2</w:t>
      </w:r>
    </w:p>
    <w:p w14:paraId="7E6D192A" w14:textId="77777777" w:rsidR="00815A6F" w:rsidRPr="009E2760"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9E2760">
        <w:rPr>
          <w:rFonts w:asciiTheme="minorHAnsi" w:hAnsiTheme="minorHAnsi"/>
          <w:b/>
          <w:bCs/>
          <w:caps/>
        </w:rPr>
        <w:br w:type="page"/>
      </w:r>
    </w:p>
    <w:p w14:paraId="3A6B6D93" w14:textId="12B757C7" w:rsidR="00850C7D" w:rsidRPr="009E2760" w:rsidRDefault="00815A6F" w:rsidP="00850C7D">
      <w:pPr>
        <w:pStyle w:val="AnnexNo"/>
        <w:rPr>
          <w:rFonts w:asciiTheme="minorHAnsi" w:hAnsiTheme="minorHAnsi"/>
          <w:b/>
          <w:bCs/>
        </w:rPr>
      </w:pPr>
      <w:r w:rsidRPr="009E2760">
        <w:rPr>
          <w:rFonts w:asciiTheme="minorHAnsi" w:hAnsiTheme="minorHAnsi"/>
          <w:b/>
          <w:bCs/>
          <w:caps w:val="0"/>
        </w:rPr>
        <w:lastRenderedPageBreak/>
        <w:t>Annexe A</w:t>
      </w:r>
      <w:r w:rsidR="009109B3" w:rsidRPr="009E2760">
        <w:rPr>
          <w:rFonts w:asciiTheme="minorHAnsi" w:hAnsiTheme="minorHAnsi"/>
          <w:b/>
          <w:bCs/>
          <w:caps w:val="0"/>
        </w:rPr>
        <w:br/>
      </w:r>
      <w:r w:rsidR="009109B3" w:rsidRPr="009E2760">
        <w:rPr>
          <w:rFonts w:asciiTheme="minorHAnsi" w:hAnsiTheme="minorHAnsi"/>
          <w:b/>
          <w:bCs/>
        </w:rPr>
        <w:t>R</w:t>
      </w:r>
      <w:r w:rsidR="009109B3" w:rsidRPr="009E2760">
        <w:rPr>
          <w:rFonts w:asciiTheme="minorHAnsi" w:hAnsiTheme="minorHAnsi"/>
          <w:b/>
          <w:bCs/>
          <w:caps w:val="0"/>
        </w:rPr>
        <w:t>enseignements complémentaires</w:t>
      </w:r>
    </w:p>
    <w:p w14:paraId="46576A0F" w14:textId="77777777" w:rsidR="00815A6F" w:rsidRPr="009E2760" w:rsidRDefault="00815A6F" w:rsidP="00815A6F">
      <w:pPr>
        <w:keepNext/>
        <w:keepLines/>
        <w:spacing w:before="240" w:after="280"/>
        <w:jc w:val="center"/>
        <w:rPr>
          <w:rFonts w:asciiTheme="minorHAnsi" w:hAnsiTheme="minorHAnsi"/>
          <w:b/>
          <w:sz w:val="28"/>
          <w:szCs w:val="22"/>
        </w:rPr>
      </w:pPr>
      <w:bookmarkStart w:id="1" w:name="Duties"/>
      <w:bookmarkEnd w:id="1"/>
      <w:r w:rsidRPr="009E2760">
        <w:rPr>
          <w:rFonts w:asciiTheme="minorHAnsi" w:hAnsiTheme="minorHAnsi"/>
          <w:b/>
          <w:bCs/>
          <w:szCs w:val="24"/>
        </w:rPr>
        <w:t>MÉTHODES DE TRAVAIL ET INSTALLATIONS</w:t>
      </w:r>
    </w:p>
    <w:p w14:paraId="228C8A22" w14:textId="6267CFFA" w:rsidR="00815A6F" w:rsidRPr="009E2760" w:rsidRDefault="00815A6F" w:rsidP="00815A6F">
      <w:pPr>
        <w:spacing w:after="120"/>
        <w:rPr>
          <w:rFonts w:asciiTheme="minorHAnsi" w:hAnsiTheme="minorHAnsi" w:cstheme="majorBidi"/>
          <w:szCs w:val="24"/>
        </w:rPr>
      </w:pPr>
      <w:r w:rsidRPr="009E2760">
        <w:rPr>
          <w:rFonts w:asciiTheme="minorHAnsi" w:eastAsia="SimSun" w:hAnsiTheme="minorHAnsi"/>
          <w:b/>
          <w:bCs/>
          <w:szCs w:val="24"/>
          <w:lang w:eastAsia="zh-CN"/>
        </w:rPr>
        <w:t xml:space="preserve">SOUMISSION DES DOCUMENTS ET </w:t>
      </w:r>
      <w:proofErr w:type="gramStart"/>
      <w:r w:rsidRPr="009E2760">
        <w:rPr>
          <w:rFonts w:asciiTheme="minorHAnsi" w:eastAsia="SimSun" w:hAnsiTheme="minorHAnsi"/>
          <w:b/>
          <w:bCs/>
          <w:szCs w:val="24"/>
          <w:lang w:eastAsia="zh-CN"/>
        </w:rPr>
        <w:t>ACCÈS</w:t>
      </w:r>
      <w:r w:rsidRPr="009E2760">
        <w:rPr>
          <w:rFonts w:asciiTheme="minorHAnsi" w:eastAsia="SimSun" w:hAnsiTheme="minorHAnsi"/>
          <w:szCs w:val="24"/>
          <w:lang w:eastAsia="zh-CN"/>
        </w:rPr>
        <w:t>:</w:t>
      </w:r>
      <w:proofErr w:type="gramEnd"/>
      <w:r w:rsidRPr="009E2760">
        <w:rPr>
          <w:rFonts w:asciiTheme="minorHAnsi" w:eastAsia="SimSun" w:hAnsiTheme="minorHAnsi"/>
          <w:b/>
          <w:bCs/>
          <w:szCs w:val="24"/>
          <w:lang w:eastAsia="zh-CN"/>
        </w:rPr>
        <w:t xml:space="preserve"> </w:t>
      </w:r>
      <w:r w:rsidRPr="009E2760">
        <w:rPr>
          <w:rFonts w:asciiTheme="minorHAnsi" w:hAnsiTheme="minorHAnsi" w:cstheme="majorBidi"/>
          <w:szCs w:val="24"/>
        </w:rPr>
        <w:t xml:space="preserve">La réunion se déroulera sans document papier. Les contributions </w:t>
      </w:r>
      <w:r w:rsidR="009109B3" w:rsidRPr="009E2760">
        <w:rPr>
          <w:rFonts w:asciiTheme="minorHAnsi" w:hAnsiTheme="minorHAnsi" w:cstheme="majorBidi"/>
          <w:szCs w:val="24"/>
        </w:rPr>
        <w:t xml:space="preserve">et les projets de document temporaire (TD) </w:t>
      </w:r>
      <w:r w:rsidRPr="009E2760">
        <w:rPr>
          <w:rFonts w:asciiTheme="minorHAnsi" w:hAnsiTheme="minorHAnsi" w:cstheme="majorBidi"/>
          <w:szCs w:val="24"/>
        </w:rPr>
        <w:t xml:space="preserve">des Membres doivent être </w:t>
      </w:r>
      <w:r w:rsidR="009109B3" w:rsidRPr="009E2760">
        <w:rPr>
          <w:rFonts w:asciiTheme="minorHAnsi" w:hAnsiTheme="minorHAnsi" w:cstheme="majorBidi"/>
          <w:szCs w:val="24"/>
        </w:rPr>
        <w:t xml:space="preserve">soumis par courrier électronique à l'adresse </w:t>
      </w:r>
      <w:hyperlink r:id="rId19" w:history="1">
        <w:r w:rsidR="00F83DB5" w:rsidRPr="009E2760">
          <w:rPr>
            <w:rStyle w:val="Hyperlink"/>
            <w:rFonts w:asciiTheme="minorHAnsi" w:hAnsiTheme="minorHAnsi" w:cstheme="majorBidi"/>
            <w:szCs w:val="24"/>
          </w:rPr>
          <w:t>tsbsg2@itu.int</w:t>
        </w:r>
      </w:hyperlink>
      <w:r w:rsidR="009109B3" w:rsidRPr="009E2760">
        <w:rPr>
          <w:rFonts w:asciiTheme="minorHAnsi" w:hAnsiTheme="minorHAnsi" w:cstheme="majorBidi"/>
          <w:szCs w:val="24"/>
        </w:rPr>
        <w:t xml:space="preserve"> en utilisant le </w:t>
      </w:r>
      <w:hyperlink r:id="rId20" w:history="1">
        <w:r w:rsidR="009109B3" w:rsidRPr="009E2760">
          <w:rPr>
            <w:rStyle w:val="Hyperlink"/>
            <w:rFonts w:asciiTheme="minorHAnsi" w:hAnsiTheme="minorHAnsi" w:cstheme="majorBidi"/>
            <w:szCs w:val="24"/>
          </w:rPr>
          <w:t>gabarit approprié</w:t>
        </w:r>
      </w:hyperlink>
      <w:r w:rsidR="009109B3" w:rsidRPr="009E2760">
        <w:rPr>
          <w:rFonts w:asciiTheme="minorHAnsi" w:hAnsiTheme="minorHAnsi" w:cstheme="majorBidi"/>
          <w:szCs w:val="24"/>
        </w:rPr>
        <w:t>. Les documents de réunion sont accessibles depuis la page d'accueil de la commission d'études, et l'accès est réservé aux Membres de l'UIT</w:t>
      </w:r>
      <w:r w:rsidR="00F83DB5" w:rsidRPr="009E2760">
        <w:rPr>
          <w:rFonts w:asciiTheme="minorHAnsi" w:hAnsiTheme="minorHAnsi" w:cstheme="majorBidi"/>
          <w:szCs w:val="24"/>
        </w:rPr>
        <w:noBreakHyphen/>
      </w:r>
      <w:r w:rsidR="009109B3" w:rsidRPr="009E2760">
        <w:rPr>
          <w:rFonts w:asciiTheme="minorHAnsi" w:hAnsiTheme="minorHAnsi" w:cstheme="majorBidi"/>
          <w:szCs w:val="24"/>
        </w:rPr>
        <w:t xml:space="preserve">T titulaires </w:t>
      </w:r>
      <w:hyperlink r:id="rId21" w:history="1">
        <w:r w:rsidR="009109B3" w:rsidRPr="009E2760">
          <w:rPr>
            <w:rStyle w:val="Hyperlink"/>
            <w:rFonts w:asciiTheme="minorHAnsi" w:hAnsiTheme="minorHAnsi" w:cstheme="majorBidi"/>
            <w:szCs w:val="24"/>
          </w:rPr>
          <w:t>d'un compte UIT</w:t>
        </w:r>
      </w:hyperlink>
      <w:r w:rsidR="009109B3" w:rsidRPr="009E2760">
        <w:rPr>
          <w:rFonts w:asciiTheme="minorHAnsi" w:hAnsiTheme="minorHAnsi" w:cstheme="majorBidi"/>
          <w:szCs w:val="24"/>
        </w:rPr>
        <w:t xml:space="preserve"> bénéficiant d'un accès TIES.</w:t>
      </w:r>
    </w:p>
    <w:p w14:paraId="60ED5777" w14:textId="77777777" w:rsidR="009109B3" w:rsidRPr="009109B3" w:rsidRDefault="009109B3" w:rsidP="009109B3">
      <w:pPr>
        <w:spacing w:after="120"/>
        <w:rPr>
          <w:rFonts w:asciiTheme="minorHAnsi" w:hAnsiTheme="minorHAnsi" w:cstheme="majorBidi"/>
          <w:szCs w:val="24"/>
        </w:rPr>
      </w:pPr>
      <w:r w:rsidRPr="009109B3">
        <w:rPr>
          <w:rFonts w:asciiTheme="minorHAnsi" w:hAnsiTheme="minorHAnsi" w:cstheme="majorBidi"/>
          <w:b/>
          <w:bCs/>
          <w:szCs w:val="24"/>
        </w:rPr>
        <w:t xml:space="preserve">LANGUE DE </w:t>
      </w:r>
      <w:proofErr w:type="gramStart"/>
      <w:r w:rsidRPr="009109B3">
        <w:rPr>
          <w:rFonts w:asciiTheme="minorHAnsi" w:hAnsiTheme="minorHAnsi" w:cstheme="majorBidi"/>
          <w:b/>
          <w:bCs/>
          <w:szCs w:val="24"/>
        </w:rPr>
        <w:t>TRAVAIL</w:t>
      </w:r>
      <w:r w:rsidRPr="009109B3">
        <w:rPr>
          <w:rFonts w:asciiTheme="minorHAnsi" w:hAnsiTheme="minorHAnsi" w:cstheme="majorBidi"/>
          <w:szCs w:val="24"/>
        </w:rPr>
        <w:t>:</w:t>
      </w:r>
      <w:proofErr w:type="gramEnd"/>
      <w:r w:rsidRPr="009109B3">
        <w:rPr>
          <w:rFonts w:asciiTheme="minorHAnsi" w:hAnsiTheme="minorHAnsi" w:cstheme="majorBidi"/>
          <w:szCs w:val="24"/>
        </w:rPr>
        <w:t xml:space="preserve"> En accord avec la Présidente du Groupe SG2RG-AFR, la langue de travail de la réunion sera l'anglais uniquement.</w:t>
      </w:r>
    </w:p>
    <w:p w14:paraId="0C415457" w14:textId="77777777" w:rsidR="009109B3" w:rsidRPr="009109B3" w:rsidRDefault="009109B3" w:rsidP="009109B3">
      <w:pPr>
        <w:spacing w:after="120"/>
        <w:rPr>
          <w:rFonts w:asciiTheme="minorHAnsi" w:hAnsiTheme="minorHAnsi" w:cstheme="majorBidi"/>
          <w:szCs w:val="24"/>
        </w:rPr>
      </w:pPr>
      <w:r w:rsidRPr="009109B3">
        <w:rPr>
          <w:rFonts w:asciiTheme="minorHAnsi" w:hAnsiTheme="minorHAnsi" w:cstheme="majorBidi"/>
          <w:b/>
          <w:bCs/>
          <w:szCs w:val="24"/>
        </w:rPr>
        <w:t xml:space="preserve">PARTICIPATION INTERACTIVE À </w:t>
      </w:r>
      <w:proofErr w:type="gramStart"/>
      <w:r w:rsidRPr="009109B3">
        <w:rPr>
          <w:rFonts w:asciiTheme="minorHAnsi" w:hAnsiTheme="minorHAnsi" w:cstheme="majorBidi"/>
          <w:b/>
          <w:bCs/>
          <w:szCs w:val="24"/>
        </w:rPr>
        <w:t>DISTANCE</w:t>
      </w:r>
      <w:r w:rsidRPr="009109B3">
        <w:rPr>
          <w:rFonts w:asciiTheme="minorHAnsi" w:hAnsiTheme="minorHAnsi" w:cstheme="majorBidi"/>
          <w:szCs w:val="24"/>
        </w:rPr>
        <w:t>:</w:t>
      </w:r>
      <w:proofErr w:type="gramEnd"/>
      <w:r w:rsidRPr="009109B3">
        <w:rPr>
          <w:rFonts w:asciiTheme="minorHAnsi" w:hAnsiTheme="minorHAnsi" w:cstheme="majorBidi"/>
          <w:szCs w:val="24"/>
        </w:rPr>
        <w:t xml:space="preserve"> L'outil </w:t>
      </w:r>
      <w:hyperlink r:id="rId22" w:history="1">
        <w:r w:rsidRPr="009109B3">
          <w:rPr>
            <w:rStyle w:val="Hyperlink"/>
            <w:rFonts w:asciiTheme="minorHAnsi" w:hAnsiTheme="minorHAnsi" w:cstheme="majorBidi"/>
            <w:szCs w:val="24"/>
          </w:rPr>
          <w:t>MyMeetings</w:t>
        </w:r>
      </w:hyperlink>
      <w:r w:rsidRPr="009109B3">
        <w:rPr>
          <w:rFonts w:asciiTheme="minorHAnsi" w:hAnsiTheme="minorHAnsi" w:cstheme="majorBidi"/>
          <w:szCs w:val="24"/>
        </w:rPr>
        <w:t xml:space="preserve"> sera utilisé pour assurer la participation à distance à cette réunion électronique, y compris la prise de décisions. Les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w:t>
      </w:r>
      <w:proofErr w:type="gramStart"/>
      <w:r w:rsidRPr="009109B3">
        <w:rPr>
          <w:rFonts w:asciiTheme="minorHAnsi" w:hAnsiTheme="minorHAnsi" w:cstheme="majorBidi"/>
          <w:szCs w:val="24"/>
        </w:rPr>
        <w:t>réunion;</w:t>
      </w:r>
      <w:proofErr w:type="gramEnd"/>
      <w:r w:rsidRPr="009109B3">
        <w:rPr>
          <w:rFonts w:asciiTheme="minorHAnsi" w:hAnsiTheme="minorHAnsi" w:cstheme="majorBidi"/>
          <w:szCs w:val="24"/>
        </w:rPr>
        <w:t xml:space="preserve"> son utilisation est encouragée pour faciliter la gestion efficace du temps au cours des séances.</w:t>
      </w:r>
    </w:p>
    <w:p w14:paraId="43E2D924" w14:textId="70D85798" w:rsidR="00815A6F" w:rsidRPr="009E2760" w:rsidRDefault="00815A6F" w:rsidP="00815A6F">
      <w:pPr>
        <w:keepNext/>
        <w:keepLines/>
        <w:spacing w:before="240" w:after="280"/>
        <w:jc w:val="center"/>
        <w:rPr>
          <w:rFonts w:asciiTheme="minorHAnsi" w:hAnsiTheme="minorHAnsi"/>
          <w:b/>
        </w:rPr>
      </w:pPr>
      <w:r w:rsidRPr="009E2760">
        <w:rPr>
          <w:rFonts w:asciiTheme="minorHAnsi" w:hAnsiTheme="minorHAnsi"/>
          <w:b/>
        </w:rPr>
        <w:t>INSCRIPTION</w:t>
      </w:r>
      <w:r w:rsidRPr="009E2760">
        <w:rPr>
          <w:rFonts w:asciiTheme="minorHAnsi" w:hAnsiTheme="minorHAnsi"/>
          <w:bCs/>
          <w:szCs w:val="24"/>
        </w:rPr>
        <w:t xml:space="preserve"> </w:t>
      </w:r>
      <w:r w:rsidRPr="009E2760">
        <w:rPr>
          <w:rFonts w:asciiTheme="minorHAnsi" w:hAnsiTheme="minorHAnsi"/>
          <w:b/>
        </w:rPr>
        <w:t>PRÉALABLE et BOURSES</w:t>
      </w:r>
    </w:p>
    <w:p w14:paraId="70B12107" w14:textId="30C80E90" w:rsidR="00815A6F" w:rsidRPr="009E2760" w:rsidRDefault="00815A6F" w:rsidP="00815A6F">
      <w:pPr>
        <w:rPr>
          <w:rFonts w:asciiTheme="minorHAnsi" w:hAnsiTheme="minorHAnsi"/>
          <w:szCs w:val="24"/>
        </w:rPr>
      </w:pPr>
      <w:r w:rsidRPr="009E2760">
        <w:rPr>
          <w:rFonts w:asciiTheme="minorHAnsi" w:hAnsiTheme="minorHAnsi"/>
          <w:b/>
          <w:bCs/>
          <w:szCs w:val="24"/>
        </w:rPr>
        <w:t xml:space="preserve">INSCRIPTION </w:t>
      </w:r>
      <w:proofErr w:type="gramStart"/>
      <w:r w:rsidRPr="009E2760">
        <w:rPr>
          <w:rFonts w:asciiTheme="minorHAnsi" w:hAnsiTheme="minorHAnsi"/>
          <w:b/>
          <w:bCs/>
          <w:szCs w:val="24"/>
        </w:rPr>
        <w:t>PRÉALABLE</w:t>
      </w:r>
      <w:r w:rsidRPr="009E2760">
        <w:rPr>
          <w:rFonts w:asciiTheme="minorHAnsi" w:hAnsiTheme="minorHAnsi"/>
          <w:szCs w:val="24"/>
        </w:rPr>
        <w:t>:</w:t>
      </w:r>
      <w:proofErr w:type="gramEnd"/>
      <w:r w:rsidRPr="009E2760">
        <w:rPr>
          <w:rFonts w:asciiTheme="minorHAnsi" w:hAnsiTheme="minorHAnsi"/>
          <w:b/>
          <w:bCs/>
          <w:szCs w:val="24"/>
        </w:rPr>
        <w:t xml:space="preserve"> </w:t>
      </w:r>
      <w:r w:rsidR="009109B3" w:rsidRPr="009E2760">
        <w:rPr>
          <w:rFonts w:asciiTheme="minorHAnsi" w:hAnsiTheme="minorHAnsi"/>
          <w:szCs w:val="24"/>
        </w:rPr>
        <w:t xml:space="preserve">L'inscription préalable est obligatoire et doit se faire en ligne depuis la page d'accueil du groupe régional </w:t>
      </w:r>
      <w:r w:rsidR="009109B3" w:rsidRPr="009E2760">
        <w:rPr>
          <w:rFonts w:asciiTheme="minorHAnsi" w:hAnsiTheme="minorHAnsi"/>
          <w:b/>
          <w:bCs/>
          <w:szCs w:val="24"/>
        </w:rPr>
        <w:t>au moins un mois avant le début de la réunion</w:t>
      </w:r>
      <w:r w:rsidR="009109B3" w:rsidRPr="009E2760">
        <w:rPr>
          <w:rFonts w:asciiTheme="minorHAnsi" w:hAnsiTheme="minorHAnsi"/>
          <w:szCs w:val="24"/>
        </w:rPr>
        <w:t>. Les États Membres sont invités à tenir compte de l'équilibre entre les hommes et les femmes et à inclure des délégués handicapés ainsi que des délégués ayant des besoins particuliers chaque fois que cela est possible.</w:t>
      </w:r>
    </w:p>
    <w:p w14:paraId="42086DA4" w14:textId="46BC8645" w:rsidR="009109B3" w:rsidRPr="009109B3" w:rsidRDefault="009109B3" w:rsidP="009109B3">
      <w:pPr>
        <w:rPr>
          <w:rFonts w:asciiTheme="minorHAnsi" w:hAnsiTheme="minorHAnsi"/>
          <w:szCs w:val="24"/>
        </w:rPr>
      </w:pPr>
      <w:r w:rsidRPr="009109B3">
        <w:rPr>
          <w:rFonts w:asciiTheme="minorHAnsi" w:hAnsiTheme="minorHAnsi"/>
          <w:b/>
          <w:bCs/>
          <w:szCs w:val="24"/>
        </w:rPr>
        <w:t xml:space="preserve">BOURSES POUR LA PARTICIPATION À UNE RÉUNION </w:t>
      </w:r>
      <w:proofErr w:type="gramStart"/>
      <w:r w:rsidRPr="009109B3">
        <w:rPr>
          <w:rFonts w:asciiTheme="minorHAnsi" w:hAnsiTheme="minorHAnsi"/>
          <w:b/>
          <w:bCs/>
          <w:szCs w:val="24"/>
        </w:rPr>
        <w:t>ÉLECTRONIQUE</w:t>
      </w:r>
      <w:r w:rsidRPr="009109B3">
        <w:rPr>
          <w:rFonts w:asciiTheme="minorHAnsi" w:hAnsiTheme="minorHAnsi"/>
          <w:szCs w:val="24"/>
        </w:rPr>
        <w:t>:</w:t>
      </w:r>
      <w:proofErr w:type="gramEnd"/>
      <w:r w:rsidRPr="009109B3">
        <w:rPr>
          <w:rFonts w:asciiTheme="minorHAnsi" w:hAnsiTheme="minorHAnsi"/>
          <w:szCs w:val="24"/>
        </w:rPr>
        <w:t xml:space="preserve"> Pour garantir la participation des pays en développement, et sous réserve que des fonds soient disponibles, les </w:t>
      </w:r>
      <w:hyperlink r:id="rId23" w:history="1">
        <w:r w:rsidRPr="009109B3">
          <w:rPr>
            <w:rStyle w:val="Hyperlink"/>
            <w:rFonts w:asciiTheme="minorHAnsi" w:hAnsiTheme="minorHAnsi"/>
            <w:szCs w:val="24"/>
          </w:rPr>
          <w:t>représentants des États Membres remplissant les conditions requises</w:t>
        </w:r>
      </w:hyperlink>
      <w:r w:rsidRPr="009109B3">
        <w:rPr>
          <w:rFonts w:asciiTheme="minorHAnsi" w:hAnsiTheme="minorHAnsi"/>
          <w:szCs w:val="24"/>
        </w:rPr>
        <w:t xml:space="preserve"> peuvent demander une aide financière à la participation, à savoir une </w:t>
      </w:r>
      <w:r w:rsidRPr="009109B3">
        <w:rPr>
          <w:rFonts w:asciiTheme="minorHAnsi" w:hAnsiTheme="minorHAnsi"/>
          <w:b/>
          <w:bCs/>
          <w:szCs w:val="24"/>
        </w:rPr>
        <w:t>bourse pour la participation à une réunion électronique</w:t>
      </w:r>
      <w:r w:rsidRPr="009109B3">
        <w:rPr>
          <w:rFonts w:asciiTheme="minorHAnsi" w:hAnsiTheme="minorHAnsi"/>
          <w:szCs w:val="24"/>
        </w:rPr>
        <w:t xml:space="preserve">. Les demandes de bourse pour la participation à une réunion électronique doivent être approuvées par le coordonnateur désigné au niveau national pour l'administration d'un État Membre. </w:t>
      </w:r>
    </w:p>
    <w:p w14:paraId="2099A981" w14:textId="2EB1DA9A" w:rsidR="009109B3" w:rsidRPr="009E2760" w:rsidRDefault="009109B3" w:rsidP="00815A6F">
      <w:pPr>
        <w:rPr>
          <w:rFonts w:asciiTheme="minorHAnsi" w:hAnsiTheme="minorHAnsi"/>
          <w:szCs w:val="24"/>
        </w:rPr>
      </w:pPr>
      <w:r w:rsidRPr="009E2760">
        <w:rPr>
          <w:rFonts w:asciiTheme="minorHAnsi" w:hAnsiTheme="minorHAnsi"/>
          <w:szCs w:val="24"/>
        </w:rPr>
        <w:t xml:space="preserve">Dans le cas des bourses pour la participation à une réunion électronique, le coût de la connectivité est remboursé pendant toute la durée de la manifestation. Vous trouverez le formulaire de demande de bourse de participation à une réunion en ligne sur la page d'accueil de la Commission d'études. </w:t>
      </w:r>
      <w:r w:rsidRPr="009E2760">
        <w:rPr>
          <w:rFonts w:asciiTheme="minorHAnsi" w:hAnsiTheme="minorHAnsi"/>
          <w:b/>
          <w:bCs/>
          <w:szCs w:val="24"/>
        </w:rPr>
        <w:t>Les demandes de bourses pour la participation à une réunion électronique doivent parvenir le 17 décembre au plus tard</w:t>
      </w:r>
      <w:r w:rsidRPr="009E2760">
        <w:rPr>
          <w:rFonts w:asciiTheme="minorHAnsi" w:hAnsiTheme="minorHAnsi"/>
          <w:szCs w:val="24"/>
        </w:rPr>
        <w:t xml:space="preserve"> par courrier électronique à l'adresse </w:t>
      </w:r>
      <w:hyperlink r:id="rId24" w:history="1">
        <w:r w:rsidR="005A4EFA" w:rsidRPr="009E2760">
          <w:rPr>
            <w:rStyle w:val="Hyperlink"/>
            <w:rFonts w:asciiTheme="minorHAnsi" w:hAnsiTheme="minorHAnsi"/>
            <w:szCs w:val="24"/>
          </w:rPr>
          <w:t>fellowships@itu.int</w:t>
        </w:r>
      </w:hyperlink>
      <w:r w:rsidRPr="009E2760">
        <w:rPr>
          <w:rFonts w:asciiTheme="minorHAnsi" w:hAnsiTheme="minorHAnsi"/>
          <w:szCs w:val="24"/>
        </w:rPr>
        <w:t xml:space="preserve"> ou par télécopie (+41 22 730 57 78). </w:t>
      </w:r>
      <w:r w:rsidRPr="009E2760">
        <w:rPr>
          <w:rFonts w:asciiTheme="minorHAnsi" w:hAnsiTheme="minorHAnsi"/>
          <w:b/>
          <w:bCs/>
          <w:szCs w:val="24"/>
        </w:rPr>
        <w:t>L'inscription (approuvée par le coordonnateur) doit être effectuée avant de soumettre une demande de bourse</w:t>
      </w:r>
      <w:r w:rsidRPr="009E2760">
        <w:rPr>
          <w:rFonts w:asciiTheme="minorHAnsi" w:hAnsiTheme="minorHAnsi"/>
          <w:szCs w:val="24"/>
        </w:rPr>
        <w:t xml:space="preserve">, et il est vivement recommandé de s'inscrire à la manifestation et d'engager le processus de demande au moins sept semaines avant la réunion. Veuillez noter que les critères sur la base desquels il est décidé d'attribuer une bourse pour la participation à une réunion électronique sont les </w:t>
      </w:r>
      <w:proofErr w:type="gramStart"/>
      <w:r w:rsidRPr="009E2760">
        <w:rPr>
          <w:rFonts w:asciiTheme="minorHAnsi" w:hAnsiTheme="minorHAnsi"/>
          <w:szCs w:val="24"/>
        </w:rPr>
        <w:t>suivants:</w:t>
      </w:r>
      <w:proofErr w:type="gramEnd"/>
      <w:r w:rsidRPr="009E2760">
        <w:rPr>
          <w:rFonts w:asciiTheme="minorHAnsi" w:hAnsiTheme="minorHAnsi"/>
          <w:szCs w:val="24"/>
        </w:rPr>
        <w:t xml:space="preserve"> budget disponible à l'UIT; participation active, et notamment soumission de contributions écrites pertinentes; répartition équitable entre les pays et les régions; demandes de personnes handicapées ou ayant des besoins particuliers; et parité hommes-femmes.</w:t>
      </w:r>
    </w:p>
    <w:p w14:paraId="3A8249DD" w14:textId="77777777" w:rsidR="00815A6F" w:rsidRPr="009E2760"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9E2760">
        <w:rPr>
          <w:rFonts w:asciiTheme="minorHAnsi" w:hAnsiTheme="minorHAnsi"/>
          <w:b/>
          <w:bCs/>
        </w:rPr>
        <w:br w:type="page"/>
      </w:r>
    </w:p>
    <w:p w14:paraId="5A3EE4CC" w14:textId="77777777" w:rsidR="009109B3" w:rsidRPr="006A412B" w:rsidRDefault="009109B3" w:rsidP="009109B3">
      <w:pPr>
        <w:jc w:val="center"/>
        <w:rPr>
          <w:rFonts w:cstheme="minorHAnsi"/>
          <w:b/>
          <w:iCs/>
          <w:szCs w:val="22"/>
          <w:lang w:val="en-US"/>
        </w:rPr>
      </w:pPr>
      <w:r w:rsidRPr="006A412B">
        <w:rPr>
          <w:rFonts w:cstheme="minorHAnsi"/>
          <w:b/>
          <w:bCs/>
          <w:szCs w:val="22"/>
          <w:lang w:val="en-US"/>
        </w:rPr>
        <w:lastRenderedPageBreak/>
        <w:t>ANNEX B</w:t>
      </w:r>
      <w:r w:rsidRPr="006A412B">
        <w:rPr>
          <w:rFonts w:cstheme="minorHAnsi"/>
          <w:b/>
          <w:bCs/>
          <w:szCs w:val="22"/>
          <w:lang w:val="en-US"/>
        </w:rPr>
        <w:br/>
      </w:r>
      <w:r w:rsidRPr="006A412B">
        <w:rPr>
          <w:rFonts w:cstheme="minorHAnsi"/>
          <w:b/>
          <w:iCs/>
          <w:szCs w:val="22"/>
          <w:lang w:val="en-US"/>
        </w:rPr>
        <w:t xml:space="preserve">Draft agenda </w:t>
      </w:r>
      <w:r w:rsidRPr="006A412B">
        <w:rPr>
          <w:rFonts w:cstheme="minorHAnsi"/>
          <w:b/>
          <w:iCs/>
          <w:szCs w:val="22"/>
          <w:lang w:val="en-US"/>
        </w:rPr>
        <w:br/>
        <w:t>Meeting of ITU-T Study Group 2 Regional Group for Africa (SG2RG-AFR)</w:t>
      </w:r>
      <w:r w:rsidRPr="006A412B">
        <w:rPr>
          <w:rFonts w:cstheme="minorHAnsi"/>
          <w:b/>
          <w:iCs/>
          <w:szCs w:val="22"/>
          <w:lang w:val="en-US"/>
        </w:rPr>
        <w:br/>
        <w:t>Virtual, 17-18 January 2023 (1100-1500 hours Geneva time)</w:t>
      </w:r>
    </w:p>
    <w:p w14:paraId="39DC5ED2" w14:textId="77777777" w:rsidR="009109B3" w:rsidRPr="006A412B" w:rsidRDefault="009109B3" w:rsidP="009109B3">
      <w:pPr>
        <w:rPr>
          <w:rFonts w:cstheme="minorHAnsi"/>
          <w:szCs w:val="22"/>
          <w:lang w:val="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289"/>
      </w:tblGrid>
      <w:tr w:rsidR="009109B3" w:rsidRPr="009E2760" w14:paraId="718A66E2" w14:textId="77777777" w:rsidTr="00523B36">
        <w:tc>
          <w:tcPr>
            <w:tcW w:w="696" w:type="dxa"/>
            <w:vAlign w:val="center"/>
          </w:tcPr>
          <w:p w14:paraId="562E69AA" w14:textId="77777777" w:rsidR="009109B3" w:rsidRPr="009E2760" w:rsidRDefault="009109B3" w:rsidP="00523B36">
            <w:pPr>
              <w:jc w:val="center"/>
              <w:rPr>
                <w:rFonts w:cstheme="minorHAnsi"/>
                <w:b/>
                <w:bCs/>
                <w:szCs w:val="22"/>
              </w:rPr>
            </w:pPr>
            <w:r w:rsidRPr="009E2760">
              <w:rPr>
                <w:rFonts w:cstheme="minorHAnsi"/>
                <w:b/>
                <w:bCs/>
                <w:szCs w:val="22"/>
              </w:rPr>
              <w:t>No</w:t>
            </w:r>
          </w:p>
        </w:tc>
        <w:tc>
          <w:tcPr>
            <w:tcW w:w="9289" w:type="dxa"/>
            <w:vAlign w:val="center"/>
          </w:tcPr>
          <w:p w14:paraId="4D98949F" w14:textId="77777777" w:rsidR="009109B3" w:rsidRPr="009E2760" w:rsidRDefault="009109B3" w:rsidP="00523B36">
            <w:pPr>
              <w:jc w:val="center"/>
              <w:rPr>
                <w:rFonts w:cstheme="minorHAnsi"/>
                <w:b/>
                <w:bCs/>
                <w:szCs w:val="22"/>
              </w:rPr>
            </w:pPr>
            <w:r w:rsidRPr="009E2760">
              <w:rPr>
                <w:rFonts w:cstheme="minorHAnsi"/>
                <w:b/>
                <w:bCs/>
                <w:szCs w:val="22"/>
              </w:rPr>
              <w:t>Description</w:t>
            </w:r>
          </w:p>
        </w:tc>
      </w:tr>
      <w:tr w:rsidR="009109B3" w:rsidRPr="009E2760" w14:paraId="38F1D67C" w14:textId="77777777" w:rsidTr="00523B36">
        <w:tc>
          <w:tcPr>
            <w:tcW w:w="696" w:type="dxa"/>
            <w:vAlign w:val="center"/>
          </w:tcPr>
          <w:p w14:paraId="6599E51C" w14:textId="77777777" w:rsidR="009109B3" w:rsidRPr="009E2760" w:rsidRDefault="009109B3" w:rsidP="009109B3">
            <w:pPr>
              <w:numPr>
                <w:ilvl w:val="0"/>
                <w:numId w:val="11"/>
              </w:numPr>
              <w:jc w:val="center"/>
              <w:rPr>
                <w:rFonts w:cstheme="minorHAnsi"/>
                <w:szCs w:val="22"/>
              </w:rPr>
            </w:pPr>
          </w:p>
        </w:tc>
        <w:tc>
          <w:tcPr>
            <w:tcW w:w="9289" w:type="dxa"/>
            <w:vAlign w:val="center"/>
            <w:hideMark/>
          </w:tcPr>
          <w:p w14:paraId="5BF74A7F" w14:textId="77777777" w:rsidR="009109B3" w:rsidRPr="009E2760" w:rsidRDefault="009109B3" w:rsidP="00523B36">
            <w:pPr>
              <w:rPr>
                <w:rFonts w:cstheme="minorHAnsi"/>
                <w:szCs w:val="22"/>
              </w:rPr>
            </w:pPr>
            <w:r w:rsidRPr="009E2760">
              <w:rPr>
                <w:rFonts w:cstheme="minorHAnsi"/>
                <w:szCs w:val="22"/>
              </w:rPr>
              <w:t xml:space="preserve">Opening of the </w:t>
            </w:r>
            <w:proofErr w:type="gramStart"/>
            <w:r w:rsidRPr="009E2760">
              <w:rPr>
                <w:rFonts w:cstheme="minorHAnsi"/>
                <w:szCs w:val="22"/>
              </w:rPr>
              <w:t>meeting</w:t>
            </w:r>
            <w:proofErr w:type="gramEnd"/>
          </w:p>
        </w:tc>
      </w:tr>
      <w:tr w:rsidR="009109B3" w:rsidRPr="009046D6" w14:paraId="41B0C191" w14:textId="77777777" w:rsidTr="00523B36">
        <w:tc>
          <w:tcPr>
            <w:tcW w:w="696" w:type="dxa"/>
            <w:vAlign w:val="center"/>
          </w:tcPr>
          <w:p w14:paraId="30BE1F8D" w14:textId="77777777" w:rsidR="009109B3" w:rsidRPr="009E2760" w:rsidRDefault="009109B3" w:rsidP="009109B3">
            <w:pPr>
              <w:numPr>
                <w:ilvl w:val="0"/>
                <w:numId w:val="11"/>
              </w:numPr>
              <w:jc w:val="center"/>
              <w:rPr>
                <w:rFonts w:cstheme="minorHAnsi"/>
                <w:szCs w:val="22"/>
              </w:rPr>
            </w:pPr>
          </w:p>
        </w:tc>
        <w:tc>
          <w:tcPr>
            <w:tcW w:w="9289" w:type="dxa"/>
            <w:vAlign w:val="center"/>
          </w:tcPr>
          <w:p w14:paraId="08CD2929" w14:textId="77777777" w:rsidR="009109B3" w:rsidRPr="006A412B" w:rsidRDefault="009109B3" w:rsidP="00523B36">
            <w:pPr>
              <w:rPr>
                <w:rFonts w:cstheme="minorHAnsi"/>
                <w:szCs w:val="22"/>
                <w:lang w:val="en-US"/>
              </w:rPr>
            </w:pPr>
            <w:r w:rsidRPr="006A412B">
              <w:rPr>
                <w:rFonts w:cstheme="minorHAnsi"/>
                <w:szCs w:val="22"/>
                <w:lang w:val="en-US"/>
              </w:rPr>
              <w:t>Remote participation guide for SG2RG-AFR meeting</w:t>
            </w:r>
          </w:p>
        </w:tc>
      </w:tr>
      <w:tr w:rsidR="009109B3" w:rsidRPr="009E2760" w14:paraId="7491B1CF" w14:textId="77777777" w:rsidTr="00523B36">
        <w:tc>
          <w:tcPr>
            <w:tcW w:w="696" w:type="dxa"/>
            <w:vAlign w:val="center"/>
          </w:tcPr>
          <w:p w14:paraId="34FEAFF1" w14:textId="77777777" w:rsidR="009109B3" w:rsidRPr="006A412B" w:rsidRDefault="009109B3" w:rsidP="009109B3">
            <w:pPr>
              <w:numPr>
                <w:ilvl w:val="0"/>
                <w:numId w:val="11"/>
              </w:numPr>
              <w:jc w:val="center"/>
              <w:rPr>
                <w:rFonts w:cstheme="minorHAnsi"/>
                <w:szCs w:val="22"/>
                <w:lang w:val="en-US"/>
              </w:rPr>
            </w:pPr>
          </w:p>
        </w:tc>
        <w:tc>
          <w:tcPr>
            <w:tcW w:w="9289" w:type="dxa"/>
            <w:vAlign w:val="center"/>
            <w:hideMark/>
          </w:tcPr>
          <w:p w14:paraId="29B08958" w14:textId="77777777" w:rsidR="009109B3" w:rsidRPr="009E2760" w:rsidRDefault="009109B3" w:rsidP="00523B36">
            <w:pPr>
              <w:rPr>
                <w:rFonts w:cstheme="minorHAnsi"/>
                <w:szCs w:val="22"/>
              </w:rPr>
            </w:pPr>
            <w:r w:rsidRPr="009E2760">
              <w:rPr>
                <w:rFonts w:cstheme="minorHAnsi"/>
                <w:szCs w:val="22"/>
              </w:rPr>
              <w:t>Adoption of the agenda</w:t>
            </w:r>
          </w:p>
        </w:tc>
      </w:tr>
      <w:tr w:rsidR="009109B3" w:rsidRPr="009046D6" w14:paraId="32DA9F0B" w14:textId="77777777" w:rsidTr="00523B36">
        <w:tc>
          <w:tcPr>
            <w:tcW w:w="696" w:type="dxa"/>
            <w:vAlign w:val="center"/>
          </w:tcPr>
          <w:p w14:paraId="145F3EEC" w14:textId="77777777" w:rsidR="009109B3" w:rsidRPr="009E2760" w:rsidRDefault="009109B3" w:rsidP="009109B3">
            <w:pPr>
              <w:numPr>
                <w:ilvl w:val="0"/>
                <w:numId w:val="11"/>
              </w:numPr>
              <w:jc w:val="center"/>
              <w:rPr>
                <w:rFonts w:cstheme="minorHAnsi"/>
                <w:szCs w:val="22"/>
              </w:rPr>
            </w:pPr>
          </w:p>
        </w:tc>
        <w:tc>
          <w:tcPr>
            <w:tcW w:w="9289" w:type="dxa"/>
            <w:vAlign w:val="center"/>
          </w:tcPr>
          <w:p w14:paraId="24FDACCB" w14:textId="77777777" w:rsidR="009109B3" w:rsidRPr="006A412B" w:rsidRDefault="009109B3" w:rsidP="00523B36">
            <w:pPr>
              <w:rPr>
                <w:rFonts w:cstheme="minorHAnsi"/>
                <w:szCs w:val="22"/>
                <w:lang w:val="en-US"/>
              </w:rPr>
            </w:pPr>
            <w:r w:rsidRPr="006A412B">
              <w:rPr>
                <w:rFonts w:cstheme="minorHAnsi"/>
                <w:szCs w:val="22"/>
                <w:lang w:val="en-US"/>
              </w:rPr>
              <w:t>Training on numbering resources management</w:t>
            </w:r>
          </w:p>
        </w:tc>
      </w:tr>
      <w:tr w:rsidR="009109B3" w:rsidRPr="009046D6" w14:paraId="61E5C60E" w14:textId="77777777" w:rsidTr="00523B36">
        <w:tc>
          <w:tcPr>
            <w:tcW w:w="696" w:type="dxa"/>
            <w:vAlign w:val="center"/>
          </w:tcPr>
          <w:p w14:paraId="081444C9" w14:textId="77777777" w:rsidR="009109B3" w:rsidRPr="006A412B" w:rsidRDefault="009109B3" w:rsidP="009109B3">
            <w:pPr>
              <w:numPr>
                <w:ilvl w:val="0"/>
                <w:numId w:val="11"/>
              </w:numPr>
              <w:jc w:val="center"/>
              <w:rPr>
                <w:rFonts w:cstheme="minorHAnsi"/>
                <w:szCs w:val="22"/>
                <w:lang w:val="en-US"/>
              </w:rPr>
            </w:pPr>
          </w:p>
        </w:tc>
        <w:tc>
          <w:tcPr>
            <w:tcW w:w="9289" w:type="dxa"/>
            <w:vAlign w:val="center"/>
          </w:tcPr>
          <w:p w14:paraId="0C9F9A0E" w14:textId="77777777" w:rsidR="009109B3" w:rsidRPr="006A412B" w:rsidRDefault="009109B3" w:rsidP="00523B36">
            <w:pPr>
              <w:rPr>
                <w:rFonts w:cstheme="minorHAnsi"/>
                <w:szCs w:val="22"/>
                <w:lang w:val="en-US"/>
              </w:rPr>
            </w:pPr>
            <w:r w:rsidRPr="006A412B">
              <w:rPr>
                <w:rFonts w:cstheme="minorHAnsi"/>
                <w:szCs w:val="22"/>
                <w:lang w:val="en-US"/>
              </w:rPr>
              <w:t>Presentations on numbering related topics</w:t>
            </w:r>
          </w:p>
        </w:tc>
      </w:tr>
      <w:tr w:rsidR="009109B3" w:rsidRPr="009046D6" w14:paraId="5709C8B0" w14:textId="77777777" w:rsidTr="00523B36">
        <w:tc>
          <w:tcPr>
            <w:tcW w:w="696" w:type="dxa"/>
            <w:vAlign w:val="center"/>
          </w:tcPr>
          <w:p w14:paraId="46EBDF0D" w14:textId="77777777" w:rsidR="009109B3" w:rsidRPr="006A412B" w:rsidRDefault="009109B3" w:rsidP="009109B3">
            <w:pPr>
              <w:numPr>
                <w:ilvl w:val="0"/>
                <w:numId w:val="11"/>
              </w:numPr>
              <w:jc w:val="center"/>
              <w:rPr>
                <w:rFonts w:cstheme="minorHAnsi"/>
                <w:szCs w:val="22"/>
                <w:lang w:val="en-US"/>
              </w:rPr>
            </w:pPr>
          </w:p>
        </w:tc>
        <w:tc>
          <w:tcPr>
            <w:tcW w:w="9289" w:type="dxa"/>
            <w:vAlign w:val="center"/>
          </w:tcPr>
          <w:p w14:paraId="61D8D900" w14:textId="77777777" w:rsidR="009109B3" w:rsidRPr="006A412B" w:rsidRDefault="009109B3" w:rsidP="00523B36">
            <w:pPr>
              <w:rPr>
                <w:rFonts w:cstheme="minorHAnsi"/>
                <w:szCs w:val="22"/>
                <w:lang w:val="en-US"/>
              </w:rPr>
            </w:pPr>
            <w:r w:rsidRPr="006A412B">
              <w:rPr>
                <w:rFonts w:cstheme="minorHAnsi"/>
                <w:szCs w:val="22"/>
                <w:lang w:val="en-US"/>
              </w:rPr>
              <w:t>Overview of ITU-T Study Group 2 and working methods</w:t>
            </w:r>
          </w:p>
        </w:tc>
      </w:tr>
      <w:tr w:rsidR="009109B3" w:rsidRPr="009046D6" w14:paraId="3B02B3C1" w14:textId="77777777" w:rsidTr="00523B36">
        <w:tc>
          <w:tcPr>
            <w:tcW w:w="696" w:type="dxa"/>
            <w:vAlign w:val="center"/>
          </w:tcPr>
          <w:p w14:paraId="2D64F329" w14:textId="77777777" w:rsidR="009109B3" w:rsidRPr="006A412B" w:rsidRDefault="009109B3" w:rsidP="009109B3">
            <w:pPr>
              <w:numPr>
                <w:ilvl w:val="0"/>
                <w:numId w:val="11"/>
              </w:numPr>
              <w:jc w:val="center"/>
              <w:rPr>
                <w:rFonts w:cstheme="minorHAnsi"/>
                <w:szCs w:val="22"/>
                <w:lang w:val="en-US"/>
              </w:rPr>
            </w:pPr>
          </w:p>
        </w:tc>
        <w:tc>
          <w:tcPr>
            <w:tcW w:w="9289" w:type="dxa"/>
            <w:vAlign w:val="center"/>
          </w:tcPr>
          <w:p w14:paraId="14D142F7" w14:textId="77777777" w:rsidR="009109B3" w:rsidRPr="006A412B" w:rsidRDefault="009109B3" w:rsidP="00523B36">
            <w:pPr>
              <w:rPr>
                <w:rFonts w:cstheme="minorHAnsi"/>
                <w:szCs w:val="22"/>
                <w:lang w:val="en-US"/>
              </w:rPr>
            </w:pPr>
            <w:r w:rsidRPr="006A412B">
              <w:rPr>
                <w:rFonts w:cstheme="minorHAnsi"/>
                <w:szCs w:val="22"/>
                <w:lang w:val="en-US"/>
              </w:rPr>
              <w:t>Overview of outcomes of previous ITU-T SG2 meetings</w:t>
            </w:r>
          </w:p>
        </w:tc>
      </w:tr>
      <w:tr w:rsidR="009109B3" w:rsidRPr="009046D6" w14:paraId="127DC09B" w14:textId="77777777" w:rsidTr="00523B36">
        <w:tc>
          <w:tcPr>
            <w:tcW w:w="696" w:type="dxa"/>
            <w:vAlign w:val="center"/>
          </w:tcPr>
          <w:p w14:paraId="71B6CB87" w14:textId="77777777" w:rsidR="009109B3" w:rsidRPr="006A412B" w:rsidRDefault="009109B3" w:rsidP="009109B3">
            <w:pPr>
              <w:numPr>
                <w:ilvl w:val="0"/>
                <w:numId w:val="11"/>
              </w:numPr>
              <w:jc w:val="center"/>
              <w:rPr>
                <w:rFonts w:cstheme="minorHAnsi"/>
                <w:szCs w:val="22"/>
                <w:lang w:val="en-US"/>
              </w:rPr>
            </w:pPr>
          </w:p>
        </w:tc>
        <w:tc>
          <w:tcPr>
            <w:tcW w:w="9289" w:type="dxa"/>
            <w:vAlign w:val="center"/>
          </w:tcPr>
          <w:p w14:paraId="0CAAE0C6" w14:textId="77777777" w:rsidR="009109B3" w:rsidRPr="006A412B" w:rsidRDefault="009109B3" w:rsidP="00523B36">
            <w:pPr>
              <w:rPr>
                <w:rFonts w:cstheme="minorHAnsi"/>
                <w:szCs w:val="22"/>
                <w:lang w:val="en-US"/>
              </w:rPr>
            </w:pPr>
            <w:r w:rsidRPr="006A412B">
              <w:rPr>
                <w:rFonts w:cstheme="minorHAnsi"/>
                <w:szCs w:val="22"/>
                <w:lang w:val="en-US"/>
              </w:rPr>
              <w:t>Report of the last SG2RG-AFR meeting</w:t>
            </w:r>
          </w:p>
        </w:tc>
      </w:tr>
      <w:tr w:rsidR="009109B3" w:rsidRPr="009046D6" w14:paraId="47A83BF3" w14:textId="77777777" w:rsidTr="00523B36">
        <w:tc>
          <w:tcPr>
            <w:tcW w:w="696" w:type="dxa"/>
            <w:vAlign w:val="center"/>
          </w:tcPr>
          <w:p w14:paraId="7D52C861" w14:textId="77777777" w:rsidR="009109B3" w:rsidRPr="006A412B" w:rsidRDefault="009109B3" w:rsidP="009109B3">
            <w:pPr>
              <w:numPr>
                <w:ilvl w:val="0"/>
                <w:numId w:val="11"/>
              </w:numPr>
              <w:jc w:val="center"/>
              <w:rPr>
                <w:rFonts w:cstheme="minorHAnsi"/>
                <w:szCs w:val="22"/>
                <w:lang w:val="en-US"/>
              </w:rPr>
            </w:pPr>
          </w:p>
        </w:tc>
        <w:tc>
          <w:tcPr>
            <w:tcW w:w="9289" w:type="dxa"/>
            <w:vAlign w:val="center"/>
            <w:hideMark/>
          </w:tcPr>
          <w:p w14:paraId="6BDE3BC7" w14:textId="77777777" w:rsidR="009109B3" w:rsidRPr="006A412B" w:rsidRDefault="009109B3" w:rsidP="00523B36">
            <w:pPr>
              <w:rPr>
                <w:rFonts w:cstheme="minorHAnsi"/>
                <w:szCs w:val="22"/>
                <w:lang w:val="en-US"/>
              </w:rPr>
            </w:pPr>
            <w:r w:rsidRPr="006A412B">
              <w:rPr>
                <w:rFonts w:cstheme="minorHAnsi"/>
                <w:szCs w:val="22"/>
                <w:lang w:val="en-US"/>
              </w:rPr>
              <w:t>Highlights of important ITU events and Results of WTSA, WTDC and PP pertaining to SG2RG-AFR</w:t>
            </w:r>
          </w:p>
        </w:tc>
      </w:tr>
      <w:tr w:rsidR="009109B3" w:rsidRPr="009E2760" w14:paraId="1985F5F8" w14:textId="77777777" w:rsidTr="00523B36">
        <w:tc>
          <w:tcPr>
            <w:tcW w:w="696" w:type="dxa"/>
            <w:vAlign w:val="center"/>
          </w:tcPr>
          <w:p w14:paraId="1C10C075" w14:textId="77777777" w:rsidR="009109B3" w:rsidRPr="006A412B" w:rsidRDefault="009109B3" w:rsidP="009109B3">
            <w:pPr>
              <w:numPr>
                <w:ilvl w:val="0"/>
                <w:numId w:val="11"/>
              </w:numPr>
              <w:jc w:val="center"/>
              <w:rPr>
                <w:rFonts w:cstheme="minorHAnsi"/>
                <w:szCs w:val="22"/>
                <w:lang w:val="en-US"/>
              </w:rPr>
            </w:pPr>
          </w:p>
        </w:tc>
        <w:tc>
          <w:tcPr>
            <w:tcW w:w="9289" w:type="dxa"/>
            <w:vAlign w:val="center"/>
          </w:tcPr>
          <w:p w14:paraId="49B4008D" w14:textId="77777777" w:rsidR="009109B3" w:rsidRPr="009E2760" w:rsidRDefault="009109B3" w:rsidP="00523B36">
            <w:pPr>
              <w:rPr>
                <w:rFonts w:cstheme="minorHAnsi"/>
                <w:szCs w:val="22"/>
              </w:rPr>
            </w:pPr>
            <w:r w:rsidRPr="009E2760">
              <w:rPr>
                <w:rFonts w:cstheme="minorHAnsi"/>
                <w:szCs w:val="22"/>
              </w:rPr>
              <w:t>Discussion on received Contributions</w:t>
            </w:r>
          </w:p>
        </w:tc>
      </w:tr>
      <w:tr w:rsidR="009109B3" w:rsidRPr="009046D6" w14:paraId="4FDA5520" w14:textId="77777777" w:rsidTr="00523B36">
        <w:tc>
          <w:tcPr>
            <w:tcW w:w="696" w:type="dxa"/>
            <w:vAlign w:val="center"/>
          </w:tcPr>
          <w:p w14:paraId="4339EF47" w14:textId="77777777" w:rsidR="009109B3" w:rsidRPr="009E2760" w:rsidRDefault="009109B3" w:rsidP="009109B3">
            <w:pPr>
              <w:numPr>
                <w:ilvl w:val="0"/>
                <w:numId w:val="11"/>
              </w:numPr>
              <w:jc w:val="center"/>
              <w:rPr>
                <w:rFonts w:cstheme="minorHAnsi"/>
                <w:szCs w:val="22"/>
              </w:rPr>
            </w:pPr>
          </w:p>
        </w:tc>
        <w:tc>
          <w:tcPr>
            <w:tcW w:w="9289" w:type="dxa"/>
            <w:vAlign w:val="center"/>
            <w:hideMark/>
          </w:tcPr>
          <w:p w14:paraId="209D5BE0" w14:textId="77777777" w:rsidR="009109B3" w:rsidRPr="006A412B" w:rsidRDefault="009109B3" w:rsidP="00523B36">
            <w:pPr>
              <w:rPr>
                <w:rFonts w:cstheme="minorHAnsi"/>
                <w:szCs w:val="22"/>
                <w:lang w:val="en-US"/>
              </w:rPr>
            </w:pPr>
            <w:r w:rsidRPr="006A412B">
              <w:rPr>
                <w:rFonts w:cstheme="minorHAnsi"/>
                <w:szCs w:val="22"/>
                <w:lang w:val="en-US"/>
              </w:rPr>
              <w:t>SG2RG-AFR members’ Contributions to ITU-T Study Group 2</w:t>
            </w:r>
          </w:p>
        </w:tc>
      </w:tr>
      <w:tr w:rsidR="009109B3" w:rsidRPr="009E2760" w14:paraId="03B2824F" w14:textId="77777777" w:rsidTr="00523B36">
        <w:tc>
          <w:tcPr>
            <w:tcW w:w="696" w:type="dxa"/>
            <w:vAlign w:val="center"/>
          </w:tcPr>
          <w:p w14:paraId="060081AC" w14:textId="77777777" w:rsidR="009109B3" w:rsidRPr="006A412B" w:rsidRDefault="009109B3" w:rsidP="009109B3">
            <w:pPr>
              <w:numPr>
                <w:ilvl w:val="0"/>
                <w:numId w:val="11"/>
              </w:numPr>
              <w:jc w:val="center"/>
              <w:rPr>
                <w:rFonts w:cstheme="minorHAnsi"/>
                <w:szCs w:val="22"/>
                <w:lang w:val="en-US"/>
              </w:rPr>
            </w:pPr>
          </w:p>
        </w:tc>
        <w:tc>
          <w:tcPr>
            <w:tcW w:w="9289" w:type="dxa"/>
            <w:vAlign w:val="center"/>
          </w:tcPr>
          <w:p w14:paraId="5C7B5D2E" w14:textId="77777777" w:rsidR="009109B3" w:rsidRPr="009E2760" w:rsidRDefault="009109B3" w:rsidP="00523B36">
            <w:pPr>
              <w:rPr>
                <w:rFonts w:cstheme="minorHAnsi"/>
                <w:szCs w:val="22"/>
              </w:rPr>
            </w:pPr>
            <w:r w:rsidRPr="009E2760">
              <w:rPr>
                <w:rFonts w:cstheme="minorHAnsi"/>
                <w:szCs w:val="22"/>
              </w:rPr>
              <w:t xml:space="preserve">Discussion on ITU-T SG2RG-AFR priorities </w:t>
            </w:r>
          </w:p>
        </w:tc>
      </w:tr>
      <w:tr w:rsidR="009109B3" w:rsidRPr="009046D6" w14:paraId="50E91B3C" w14:textId="77777777" w:rsidTr="00523B36">
        <w:tc>
          <w:tcPr>
            <w:tcW w:w="696" w:type="dxa"/>
            <w:vAlign w:val="center"/>
          </w:tcPr>
          <w:p w14:paraId="723DC6F2" w14:textId="77777777" w:rsidR="009109B3" w:rsidRPr="009E2760" w:rsidRDefault="009109B3" w:rsidP="009109B3">
            <w:pPr>
              <w:numPr>
                <w:ilvl w:val="0"/>
                <w:numId w:val="11"/>
              </w:numPr>
              <w:jc w:val="center"/>
              <w:rPr>
                <w:rFonts w:cstheme="minorHAnsi"/>
                <w:szCs w:val="22"/>
              </w:rPr>
            </w:pPr>
          </w:p>
        </w:tc>
        <w:tc>
          <w:tcPr>
            <w:tcW w:w="9289" w:type="dxa"/>
            <w:vAlign w:val="center"/>
          </w:tcPr>
          <w:p w14:paraId="47061F3C" w14:textId="77777777" w:rsidR="009109B3" w:rsidRPr="006A412B" w:rsidRDefault="009109B3" w:rsidP="00523B36">
            <w:pPr>
              <w:rPr>
                <w:rFonts w:cstheme="minorHAnsi"/>
                <w:szCs w:val="22"/>
                <w:lang w:val="en-US"/>
              </w:rPr>
            </w:pPr>
            <w:r w:rsidRPr="006A412B">
              <w:rPr>
                <w:rFonts w:cstheme="minorHAnsi"/>
                <w:szCs w:val="22"/>
                <w:lang w:val="en-US"/>
              </w:rPr>
              <w:t>Member Contributions to the next meeting of ITU-T Study Group 2</w:t>
            </w:r>
          </w:p>
        </w:tc>
      </w:tr>
      <w:tr w:rsidR="009109B3" w:rsidRPr="009046D6" w14:paraId="3A459A68" w14:textId="77777777" w:rsidTr="00523B36">
        <w:tc>
          <w:tcPr>
            <w:tcW w:w="696" w:type="dxa"/>
            <w:vAlign w:val="center"/>
          </w:tcPr>
          <w:p w14:paraId="19C6AFDB" w14:textId="77777777" w:rsidR="009109B3" w:rsidRPr="006A412B" w:rsidRDefault="009109B3" w:rsidP="009109B3">
            <w:pPr>
              <w:numPr>
                <w:ilvl w:val="0"/>
                <w:numId w:val="11"/>
              </w:numPr>
              <w:jc w:val="center"/>
              <w:rPr>
                <w:rFonts w:cstheme="minorHAnsi"/>
                <w:szCs w:val="22"/>
                <w:lang w:val="en-US"/>
              </w:rPr>
            </w:pPr>
          </w:p>
        </w:tc>
        <w:tc>
          <w:tcPr>
            <w:tcW w:w="9289" w:type="dxa"/>
            <w:vAlign w:val="center"/>
          </w:tcPr>
          <w:p w14:paraId="76551CFA" w14:textId="77777777" w:rsidR="009109B3" w:rsidRPr="006A412B" w:rsidRDefault="009109B3" w:rsidP="00523B36">
            <w:pPr>
              <w:rPr>
                <w:rFonts w:cstheme="minorHAnsi"/>
                <w:szCs w:val="22"/>
                <w:lang w:val="en-US"/>
              </w:rPr>
            </w:pPr>
            <w:r w:rsidRPr="006A412B">
              <w:rPr>
                <w:rFonts w:cstheme="minorHAnsi"/>
                <w:szCs w:val="22"/>
                <w:lang w:val="en-US"/>
              </w:rPr>
              <w:t>Preparation of the draft Report of the SG2RG-AFR</w:t>
            </w:r>
          </w:p>
        </w:tc>
      </w:tr>
      <w:tr w:rsidR="009109B3" w:rsidRPr="009046D6" w14:paraId="0B901367" w14:textId="77777777" w:rsidTr="00523B36">
        <w:tc>
          <w:tcPr>
            <w:tcW w:w="696" w:type="dxa"/>
            <w:vAlign w:val="center"/>
          </w:tcPr>
          <w:p w14:paraId="1B415DBA" w14:textId="77777777" w:rsidR="009109B3" w:rsidRPr="006A412B" w:rsidRDefault="009109B3" w:rsidP="009109B3">
            <w:pPr>
              <w:numPr>
                <w:ilvl w:val="0"/>
                <w:numId w:val="11"/>
              </w:numPr>
              <w:jc w:val="center"/>
              <w:rPr>
                <w:rFonts w:cstheme="minorHAnsi"/>
                <w:szCs w:val="22"/>
                <w:lang w:val="en-US"/>
              </w:rPr>
            </w:pPr>
          </w:p>
        </w:tc>
        <w:tc>
          <w:tcPr>
            <w:tcW w:w="9289" w:type="dxa"/>
            <w:vAlign w:val="center"/>
            <w:hideMark/>
          </w:tcPr>
          <w:p w14:paraId="35B56929" w14:textId="77777777" w:rsidR="009109B3" w:rsidRPr="006A412B" w:rsidRDefault="009109B3" w:rsidP="00523B36">
            <w:pPr>
              <w:rPr>
                <w:rFonts w:cstheme="minorHAnsi"/>
                <w:szCs w:val="22"/>
                <w:lang w:val="en-US"/>
              </w:rPr>
            </w:pPr>
            <w:r w:rsidRPr="006A412B">
              <w:rPr>
                <w:rFonts w:cstheme="minorHAnsi"/>
                <w:szCs w:val="22"/>
                <w:lang w:val="en-US"/>
              </w:rPr>
              <w:t>Venue and date of next SG2RG-AFR meeting</w:t>
            </w:r>
          </w:p>
        </w:tc>
      </w:tr>
      <w:tr w:rsidR="009109B3" w:rsidRPr="009E2760" w14:paraId="20E08212" w14:textId="77777777" w:rsidTr="00523B36">
        <w:tc>
          <w:tcPr>
            <w:tcW w:w="696" w:type="dxa"/>
            <w:vAlign w:val="center"/>
          </w:tcPr>
          <w:p w14:paraId="3145112A" w14:textId="77777777" w:rsidR="009109B3" w:rsidRPr="006A412B" w:rsidRDefault="009109B3" w:rsidP="009109B3">
            <w:pPr>
              <w:numPr>
                <w:ilvl w:val="0"/>
                <w:numId w:val="11"/>
              </w:numPr>
              <w:jc w:val="center"/>
              <w:rPr>
                <w:rFonts w:cstheme="minorHAnsi"/>
                <w:szCs w:val="22"/>
                <w:lang w:val="en-US"/>
              </w:rPr>
            </w:pPr>
          </w:p>
        </w:tc>
        <w:tc>
          <w:tcPr>
            <w:tcW w:w="9289" w:type="dxa"/>
            <w:vAlign w:val="center"/>
            <w:hideMark/>
          </w:tcPr>
          <w:p w14:paraId="41B03B52" w14:textId="77777777" w:rsidR="009109B3" w:rsidRPr="009E2760" w:rsidRDefault="009109B3" w:rsidP="00523B36">
            <w:pPr>
              <w:rPr>
                <w:rFonts w:cstheme="minorHAnsi"/>
                <w:szCs w:val="22"/>
              </w:rPr>
            </w:pPr>
            <w:r w:rsidRPr="009E2760">
              <w:rPr>
                <w:rFonts w:cstheme="minorHAnsi"/>
                <w:szCs w:val="22"/>
              </w:rPr>
              <w:t>Any other business</w:t>
            </w:r>
          </w:p>
        </w:tc>
      </w:tr>
      <w:tr w:rsidR="009109B3" w:rsidRPr="009E2760" w14:paraId="7AEFA3EE" w14:textId="77777777" w:rsidTr="00523B36">
        <w:tc>
          <w:tcPr>
            <w:tcW w:w="696" w:type="dxa"/>
            <w:vAlign w:val="center"/>
          </w:tcPr>
          <w:p w14:paraId="5FEAB8BD" w14:textId="77777777" w:rsidR="009109B3" w:rsidRPr="009E2760" w:rsidRDefault="009109B3" w:rsidP="009109B3">
            <w:pPr>
              <w:numPr>
                <w:ilvl w:val="0"/>
                <w:numId w:val="11"/>
              </w:numPr>
              <w:jc w:val="center"/>
              <w:rPr>
                <w:rFonts w:cstheme="minorHAnsi"/>
                <w:szCs w:val="22"/>
              </w:rPr>
            </w:pPr>
          </w:p>
        </w:tc>
        <w:tc>
          <w:tcPr>
            <w:tcW w:w="9289" w:type="dxa"/>
            <w:vAlign w:val="center"/>
            <w:hideMark/>
          </w:tcPr>
          <w:p w14:paraId="4ABE2072" w14:textId="77777777" w:rsidR="009109B3" w:rsidRPr="009E2760" w:rsidRDefault="009109B3" w:rsidP="00523B36">
            <w:pPr>
              <w:rPr>
                <w:rFonts w:cstheme="minorHAnsi"/>
                <w:szCs w:val="22"/>
              </w:rPr>
            </w:pPr>
            <w:r w:rsidRPr="009E2760">
              <w:rPr>
                <w:rFonts w:cstheme="minorHAnsi"/>
                <w:szCs w:val="22"/>
              </w:rPr>
              <w:t xml:space="preserve">Closure of the </w:t>
            </w:r>
            <w:proofErr w:type="gramStart"/>
            <w:r w:rsidRPr="009E2760">
              <w:rPr>
                <w:rFonts w:cstheme="minorHAnsi"/>
                <w:szCs w:val="22"/>
              </w:rPr>
              <w:t>meeting</w:t>
            </w:r>
            <w:proofErr w:type="gramEnd"/>
          </w:p>
        </w:tc>
      </w:tr>
    </w:tbl>
    <w:p w14:paraId="4A2FEE54" w14:textId="77777777" w:rsidR="00873711" w:rsidRDefault="00873711" w:rsidP="00411C49">
      <w:pPr>
        <w:pStyle w:val="Reasons"/>
      </w:pPr>
    </w:p>
    <w:p w14:paraId="2BD6ECCD" w14:textId="77777777" w:rsidR="00873711" w:rsidRDefault="00873711">
      <w:pPr>
        <w:jc w:val="center"/>
      </w:pPr>
      <w:r>
        <w:t>______________</w:t>
      </w:r>
    </w:p>
    <w:sectPr w:rsidR="00873711" w:rsidSect="009109B3">
      <w:headerReference w:type="even" r:id="rId25"/>
      <w:headerReference w:type="default" r:id="rId26"/>
      <w:footerReference w:type="even" r:id="rId27"/>
      <w:footerReference w:type="first" r:id="rId28"/>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48EB" w14:textId="77777777" w:rsidR="00E92C6C" w:rsidRDefault="00E92C6C">
      <w:r>
        <w:separator/>
      </w:r>
    </w:p>
  </w:endnote>
  <w:endnote w:type="continuationSeparator" w:id="0">
    <w:p w14:paraId="06AFD96F" w14:textId="77777777" w:rsidR="00E92C6C" w:rsidRDefault="00E9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47BC" w14:textId="5E04A271"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C52FFE" w:rsidRPr="00C52FFE">
      <w:rPr>
        <w:rStyle w:val="Hyperlink"/>
        <w:rFonts w:cs="Calibri"/>
        <w:caps w:val="0"/>
        <w:noProof/>
        <w:color w:val="auto"/>
        <w:sz w:val="16"/>
        <w:szCs w:val="18"/>
        <w:u w:val="none"/>
        <w:lang w:val="en-US"/>
      </w:rPr>
      <w:t>M</w:t>
    </w:r>
    <w:r w:rsidR="00C52FFE">
      <w:rPr>
        <w:rStyle w:val="Hyperlink"/>
        <w:rFonts w:cs="Calibri"/>
        <w:caps w:val="0"/>
        <w:noProof/>
        <w:color w:val="auto"/>
        <w:szCs w:val="18"/>
        <w:u w:val="none"/>
        <w:lang w:val="en-US"/>
      </w:rPr>
      <w:t>:\OFFICE\Correspondence\Collective\2022 Study Period\SG2\RG-AFR\Coll 1\001F.DOCX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453E"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A840" w14:textId="77777777" w:rsidR="00E92C6C" w:rsidRDefault="00E92C6C">
      <w:r>
        <w:t>____________________</w:t>
      </w:r>
    </w:p>
  </w:footnote>
  <w:footnote w:type="continuationSeparator" w:id="0">
    <w:p w14:paraId="465A286B" w14:textId="77777777" w:rsidR="00E92C6C" w:rsidRDefault="00E9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4BDCD371"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71A881F2"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2D156A9E"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29A7EBCB" w14:textId="6F680598" w:rsidR="00C64E19" w:rsidRPr="003222B0" w:rsidRDefault="00815A6F" w:rsidP="00C358D5">
        <w:pPr>
          <w:pStyle w:val="Header"/>
          <w:rPr>
            <w:noProof/>
            <w:sz w:val="18"/>
            <w:szCs w:val="18"/>
          </w:rPr>
        </w:pPr>
        <w:r>
          <w:rPr>
            <w:rFonts w:asciiTheme="minorHAnsi" w:hAnsiTheme="minorHAnsi"/>
            <w:sz w:val="20"/>
          </w:rPr>
          <w:t xml:space="preserve">Lettre collective </w:t>
        </w:r>
        <w:r w:rsidR="009109B3">
          <w:rPr>
            <w:rFonts w:asciiTheme="minorHAnsi" w:hAnsiTheme="minorHAnsi"/>
            <w:sz w:val="20"/>
          </w:rPr>
          <w:t>1</w:t>
        </w:r>
        <w:r>
          <w:rPr>
            <w:rFonts w:asciiTheme="minorHAnsi" w:hAnsiTheme="minorHAnsi"/>
            <w:sz w:val="20"/>
          </w:rPr>
          <w:t>/</w:t>
        </w:r>
        <w:r w:rsidR="009109B3" w:rsidRPr="009109B3">
          <w:rPr>
            <w:rFonts w:asciiTheme="minorHAnsi" w:hAnsiTheme="minorHAnsi"/>
            <w:sz w:val="20"/>
          </w:rPr>
          <w:t>SG2RG-AFR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624DE3"/>
    <w:multiLevelType w:val="hybridMultilevel"/>
    <w:tmpl w:val="237E0C7C"/>
    <w:lvl w:ilvl="0" w:tplc="97CE211A">
      <w:numFmt w:val="bullet"/>
      <w:lvlText w:val="–"/>
      <w:lvlJc w:val="left"/>
      <w:pPr>
        <w:ind w:left="360" w:hanging="360"/>
      </w:pPr>
      <w:rPr>
        <w:rFonts w:ascii="Times New Roman" w:eastAsia="Times New Roman" w:hAnsi="Times New Roman" w:cs="Times New Roman"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14D149E"/>
    <w:multiLevelType w:val="hybridMultilevel"/>
    <w:tmpl w:val="4F76D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318152">
    <w:abstractNumId w:val="4"/>
  </w:num>
  <w:num w:numId="2" w16cid:durableId="790824612">
    <w:abstractNumId w:val="6"/>
  </w:num>
  <w:num w:numId="3" w16cid:durableId="1283030086">
    <w:abstractNumId w:val="7"/>
  </w:num>
  <w:num w:numId="4" w16cid:durableId="308825989">
    <w:abstractNumId w:val="3"/>
  </w:num>
  <w:num w:numId="5" w16cid:durableId="1814448633">
    <w:abstractNumId w:val="10"/>
  </w:num>
  <w:num w:numId="6" w16cid:durableId="2101488809">
    <w:abstractNumId w:val="2"/>
  </w:num>
  <w:num w:numId="7" w16cid:durableId="662051297">
    <w:abstractNumId w:val="5"/>
  </w:num>
  <w:num w:numId="8" w16cid:durableId="902563965">
    <w:abstractNumId w:val="0"/>
  </w:num>
  <w:num w:numId="9" w16cid:durableId="1218738242">
    <w:abstractNumId w:val="1"/>
  </w:num>
  <w:num w:numId="10" w16cid:durableId="844322821">
    <w:abstractNumId w:val="8"/>
  </w:num>
  <w:num w:numId="11" w16cid:durableId="1620600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6C"/>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4EFA"/>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A412B"/>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73711"/>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6D6"/>
    <w:rsid w:val="0090478A"/>
    <w:rsid w:val="00910790"/>
    <w:rsid w:val="009109B3"/>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9E2760"/>
    <w:rsid w:val="009F0037"/>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2FFE"/>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2C6C"/>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83DB5"/>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5ABF2"/>
  <w15:docId w15:val="{211C54C0-2327-4DF1-A07C-3E6D190A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6D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9046D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046D6"/>
    <w:pPr>
      <w:spacing w:before="320"/>
      <w:outlineLvl w:val="1"/>
    </w:pPr>
  </w:style>
  <w:style w:type="paragraph" w:styleId="Heading3">
    <w:name w:val="heading 3"/>
    <w:basedOn w:val="Heading1"/>
    <w:next w:val="Normal"/>
    <w:qFormat/>
    <w:rsid w:val="009046D6"/>
    <w:pPr>
      <w:spacing w:before="200"/>
      <w:outlineLvl w:val="2"/>
    </w:pPr>
  </w:style>
  <w:style w:type="paragraph" w:styleId="Heading4">
    <w:name w:val="heading 4"/>
    <w:basedOn w:val="Heading3"/>
    <w:next w:val="Normal"/>
    <w:qFormat/>
    <w:rsid w:val="009046D6"/>
    <w:pPr>
      <w:tabs>
        <w:tab w:val="clear" w:pos="794"/>
        <w:tab w:val="left" w:pos="1191"/>
      </w:tabs>
      <w:ind w:left="993" w:hanging="993"/>
      <w:outlineLvl w:val="3"/>
    </w:pPr>
  </w:style>
  <w:style w:type="paragraph" w:styleId="Heading5">
    <w:name w:val="heading 5"/>
    <w:basedOn w:val="Heading3"/>
    <w:next w:val="Normal"/>
    <w:qFormat/>
    <w:rsid w:val="009046D6"/>
    <w:pPr>
      <w:tabs>
        <w:tab w:val="clear" w:pos="794"/>
        <w:tab w:val="left" w:pos="1191"/>
      </w:tabs>
      <w:outlineLvl w:val="4"/>
    </w:pPr>
  </w:style>
  <w:style w:type="paragraph" w:styleId="Heading6">
    <w:name w:val="heading 6"/>
    <w:basedOn w:val="Heading3"/>
    <w:next w:val="Normal"/>
    <w:qFormat/>
    <w:rsid w:val="009046D6"/>
    <w:pPr>
      <w:tabs>
        <w:tab w:val="clear" w:pos="794"/>
        <w:tab w:val="left" w:pos="1191"/>
      </w:tabs>
      <w:outlineLvl w:val="5"/>
    </w:pPr>
  </w:style>
  <w:style w:type="paragraph" w:styleId="Heading7">
    <w:name w:val="heading 7"/>
    <w:basedOn w:val="Heading3"/>
    <w:next w:val="Normal"/>
    <w:qFormat/>
    <w:rsid w:val="009046D6"/>
    <w:pPr>
      <w:tabs>
        <w:tab w:val="clear" w:pos="794"/>
        <w:tab w:val="left" w:pos="1191"/>
      </w:tabs>
      <w:outlineLvl w:val="6"/>
    </w:pPr>
  </w:style>
  <w:style w:type="paragraph" w:styleId="Heading8">
    <w:name w:val="heading 8"/>
    <w:basedOn w:val="Heading3"/>
    <w:next w:val="Normal"/>
    <w:qFormat/>
    <w:rsid w:val="009046D6"/>
    <w:pPr>
      <w:tabs>
        <w:tab w:val="clear" w:pos="794"/>
        <w:tab w:val="left" w:pos="1191"/>
      </w:tabs>
      <w:outlineLvl w:val="7"/>
    </w:pPr>
  </w:style>
  <w:style w:type="paragraph" w:styleId="Heading9">
    <w:name w:val="heading 9"/>
    <w:basedOn w:val="Heading3"/>
    <w:next w:val="Normal"/>
    <w:qFormat/>
    <w:rsid w:val="009046D6"/>
    <w:pPr>
      <w:tabs>
        <w:tab w:val="clear" w:pos="794"/>
        <w:tab w:val="left" w:pos="1191"/>
      </w:tabs>
      <w:outlineLvl w:val="8"/>
    </w:pPr>
  </w:style>
  <w:style w:type="character" w:default="1" w:styleId="DefaultParagraphFont">
    <w:name w:val="Default Paragraph Font"/>
    <w:uiPriority w:val="1"/>
    <w:semiHidden/>
    <w:unhideWhenUsed/>
    <w:rsid w:val="009046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46D6"/>
  </w:style>
  <w:style w:type="paragraph" w:styleId="TOC8">
    <w:name w:val="toc 8"/>
    <w:basedOn w:val="TOC3"/>
    <w:semiHidden/>
    <w:rsid w:val="009046D6"/>
  </w:style>
  <w:style w:type="paragraph" w:styleId="TOC7">
    <w:name w:val="toc 7"/>
    <w:basedOn w:val="TOC3"/>
    <w:semiHidden/>
    <w:rsid w:val="009046D6"/>
  </w:style>
  <w:style w:type="paragraph" w:styleId="TOC6">
    <w:name w:val="toc 6"/>
    <w:basedOn w:val="TOC3"/>
    <w:semiHidden/>
    <w:rsid w:val="009046D6"/>
  </w:style>
  <w:style w:type="paragraph" w:styleId="TOC5">
    <w:name w:val="toc 5"/>
    <w:basedOn w:val="TOC3"/>
    <w:semiHidden/>
    <w:rsid w:val="009046D6"/>
  </w:style>
  <w:style w:type="paragraph" w:styleId="TOC4">
    <w:name w:val="toc 4"/>
    <w:basedOn w:val="TOC3"/>
    <w:semiHidden/>
    <w:rsid w:val="009046D6"/>
  </w:style>
  <w:style w:type="paragraph" w:styleId="TOC3">
    <w:name w:val="toc 3"/>
    <w:basedOn w:val="TOC2"/>
    <w:semiHidden/>
    <w:rsid w:val="009046D6"/>
    <w:pPr>
      <w:spacing w:before="80"/>
    </w:pPr>
  </w:style>
  <w:style w:type="paragraph" w:styleId="TOC2">
    <w:name w:val="toc 2"/>
    <w:basedOn w:val="TOC1"/>
    <w:semiHidden/>
    <w:rsid w:val="009046D6"/>
    <w:pPr>
      <w:spacing w:before="120"/>
    </w:pPr>
  </w:style>
  <w:style w:type="paragraph" w:styleId="TOC1">
    <w:name w:val="toc 1"/>
    <w:basedOn w:val="Normal"/>
    <w:semiHidden/>
    <w:rsid w:val="009046D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046D6"/>
    <w:pPr>
      <w:ind w:left="1698"/>
    </w:pPr>
  </w:style>
  <w:style w:type="paragraph" w:styleId="Index6">
    <w:name w:val="index 6"/>
    <w:basedOn w:val="Normal"/>
    <w:next w:val="Normal"/>
    <w:semiHidden/>
    <w:rsid w:val="009046D6"/>
    <w:pPr>
      <w:ind w:left="1415"/>
    </w:pPr>
  </w:style>
  <w:style w:type="paragraph" w:styleId="Index5">
    <w:name w:val="index 5"/>
    <w:basedOn w:val="Normal"/>
    <w:next w:val="Normal"/>
    <w:semiHidden/>
    <w:rsid w:val="009046D6"/>
    <w:pPr>
      <w:ind w:left="1132"/>
    </w:pPr>
  </w:style>
  <w:style w:type="paragraph" w:styleId="Index4">
    <w:name w:val="index 4"/>
    <w:basedOn w:val="Normal"/>
    <w:next w:val="Normal"/>
    <w:semiHidden/>
    <w:rsid w:val="009046D6"/>
    <w:pPr>
      <w:ind w:left="849"/>
    </w:pPr>
  </w:style>
  <w:style w:type="paragraph" w:styleId="Index3">
    <w:name w:val="index 3"/>
    <w:basedOn w:val="Normal"/>
    <w:next w:val="Normal"/>
    <w:semiHidden/>
    <w:rsid w:val="009046D6"/>
    <w:pPr>
      <w:ind w:left="566"/>
    </w:pPr>
  </w:style>
  <w:style w:type="paragraph" w:styleId="Index2">
    <w:name w:val="index 2"/>
    <w:basedOn w:val="Normal"/>
    <w:next w:val="Normal"/>
    <w:semiHidden/>
    <w:rsid w:val="009046D6"/>
    <w:pPr>
      <w:ind w:left="283"/>
    </w:pPr>
  </w:style>
  <w:style w:type="paragraph" w:styleId="Index1">
    <w:name w:val="index 1"/>
    <w:basedOn w:val="Normal"/>
    <w:next w:val="Normal"/>
    <w:semiHidden/>
    <w:rsid w:val="009046D6"/>
  </w:style>
  <w:style w:type="character" w:styleId="LineNumber">
    <w:name w:val="line number"/>
    <w:basedOn w:val="DefaultParagraphFont"/>
    <w:rsid w:val="009046D6"/>
  </w:style>
  <w:style w:type="paragraph" w:styleId="IndexHeading">
    <w:name w:val="index heading"/>
    <w:basedOn w:val="Normal"/>
    <w:next w:val="Index1"/>
    <w:semiHidden/>
    <w:rsid w:val="009046D6"/>
  </w:style>
  <w:style w:type="paragraph" w:styleId="Footer">
    <w:name w:val="footer"/>
    <w:basedOn w:val="Normal"/>
    <w:link w:val="FooterChar"/>
    <w:rsid w:val="009046D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046D6"/>
    <w:pPr>
      <w:tabs>
        <w:tab w:val="clear" w:pos="794"/>
        <w:tab w:val="clear" w:pos="1191"/>
        <w:tab w:val="clear" w:pos="1588"/>
        <w:tab w:val="clear" w:pos="1985"/>
      </w:tabs>
      <w:spacing w:before="0"/>
      <w:jc w:val="center"/>
    </w:pPr>
  </w:style>
  <w:style w:type="character" w:styleId="FootnoteReference">
    <w:name w:val="footnote reference"/>
    <w:semiHidden/>
    <w:rsid w:val="009046D6"/>
    <w:rPr>
      <w:position w:val="6"/>
      <w:sz w:val="16"/>
    </w:rPr>
  </w:style>
  <w:style w:type="paragraph" w:styleId="FootnoteText">
    <w:name w:val="footnote text"/>
    <w:basedOn w:val="Normal"/>
    <w:semiHidden/>
    <w:rsid w:val="009046D6"/>
    <w:pPr>
      <w:keepLines/>
      <w:tabs>
        <w:tab w:val="left" w:pos="256"/>
      </w:tabs>
      <w:ind w:left="256" w:hanging="256"/>
    </w:pPr>
  </w:style>
  <w:style w:type="paragraph" w:styleId="NormalIndent">
    <w:name w:val="Normal Indent"/>
    <w:basedOn w:val="Normal"/>
    <w:rsid w:val="009046D6"/>
    <w:pPr>
      <w:ind w:left="794"/>
    </w:pPr>
  </w:style>
  <w:style w:type="paragraph" w:customStyle="1" w:styleId="TableLegend">
    <w:name w:val="Table_Legend"/>
    <w:basedOn w:val="TableText"/>
    <w:rsid w:val="009046D6"/>
    <w:pPr>
      <w:spacing w:before="120"/>
    </w:pPr>
  </w:style>
  <w:style w:type="paragraph" w:customStyle="1" w:styleId="TableText">
    <w:name w:val="Table_Text"/>
    <w:basedOn w:val="Normal"/>
    <w:rsid w:val="009046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9046D6"/>
    <w:pPr>
      <w:keepLines/>
      <w:spacing w:before="0"/>
    </w:pPr>
    <w:rPr>
      <w:b/>
      <w:caps w:val="0"/>
    </w:rPr>
  </w:style>
  <w:style w:type="paragraph" w:customStyle="1" w:styleId="Table">
    <w:name w:val="Table_#"/>
    <w:basedOn w:val="Normal"/>
    <w:next w:val="TableTitle"/>
    <w:rsid w:val="009046D6"/>
    <w:pPr>
      <w:keepNext/>
      <w:spacing w:before="560" w:after="120"/>
      <w:jc w:val="center"/>
    </w:pPr>
    <w:rPr>
      <w:caps/>
    </w:rPr>
  </w:style>
  <w:style w:type="paragraph" w:customStyle="1" w:styleId="enumlev1">
    <w:name w:val="enumlev1"/>
    <w:basedOn w:val="Normal"/>
    <w:rsid w:val="009046D6"/>
    <w:pPr>
      <w:spacing w:before="80"/>
      <w:ind w:left="794" w:hanging="794"/>
    </w:pPr>
  </w:style>
  <w:style w:type="paragraph" w:customStyle="1" w:styleId="enumlev2">
    <w:name w:val="enumlev2"/>
    <w:basedOn w:val="enumlev1"/>
    <w:rsid w:val="009046D6"/>
    <w:pPr>
      <w:ind w:left="1191" w:hanging="397"/>
    </w:pPr>
  </w:style>
  <w:style w:type="paragraph" w:customStyle="1" w:styleId="enumlev3">
    <w:name w:val="enumlev3"/>
    <w:basedOn w:val="enumlev2"/>
    <w:rsid w:val="009046D6"/>
    <w:pPr>
      <w:ind w:left="1588"/>
    </w:pPr>
  </w:style>
  <w:style w:type="paragraph" w:customStyle="1" w:styleId="TableHead">
    <w:name w:val="Table_Head"/>
    <w:basedOn w:val="TableText"/>
    <w:rsid w:val="009046D6"/>
    <w:pPr>
      <w:keepNext/>
      <w:spacing w:before="80" w:after="80"/>
      <w:jc w:val="center"/>
    </w:pPr>
    <w:rPr>
      <w:b/>
    </w:rPr>
  </w:style>
  <w:style w:type="paragraph" w:customStyle="1" w:styleId="FigureLegend">
    <w:name w:val="Figure_Legend"/>
    <w:basedOn w:val="Normal"/>
    <w:rsid w:val="009046D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046D6"/>
    <w:pPr>
      <w:spacing w:before="480"/>
    </w:pPr>
  </w:style>
  <w:style w:type="paragraph" w:customStyle="1" w:styleId="FigureTitle">
    <w:name w:val="Figure_Title"/>
    <w:basedOn w:val="TableTitle"/>
    <w:next w:val="Normal"/>
    <w:rsid w:val="009046D6"/>
    <w:pPr>
      <w:keepNext w:val="0"/>
      <w:spacing w:after="480"/>
    </w:pPr>
  </w:style>
  <w:style w:type="paragraph" w:customStyle="1" w:styleId="Annex">
    <w:name w:val="Annex_#"/>
    <w:basedOn w:val="Normal"/>
    <w:next w:val="AnnexRef"/>
    <w:rsid w:val="009046D6"/>
    <w:pPr>
      <w:keepNext/>
      <w:keepLines/>
      <w:spacing w:before="480" w:after="80"/>
      <w:jc w:val="center"/>
    </w:pPr>
    <w:rPr>
      <w:caps/>
    </w:rPr>
  </w:style>
  <w:style w:type="paragraph" w:customStyle="1" w:styleId="AnnexRef">
    <w:name w:val="Annex_Ref"/>
    <w:basedOn w:val="Normal"/>
    <w:next w:val="AnnexTitle"/>
    <w:rsid w:val="009046D6"/>
    <w:pPr>
      <w:keepNext/>
      <w:keepLines/>
      <w:jc w:val="center"/>
    </w:pPr>
  </w:style>
  <w:style w:type="paragraph" w:customStyle="1" w:styleId="AnnexTitle">
    <w:name w:val="Annex_Title"/>
    <w:basedOn w:val="Normal"/>
    <w:next w:val="Normal"/>
    <w:rsid w:val="009046D6"/>
    <w:pPr>
      <w:keepNext/>
      <w:keepLines/>
      <w:spacing w:before="240" w:after="280"/>
      <w:jc w:val="center"/>
    </w:pPr>
    <w:rPr>
      <w:b/>
    </w:rPr>
  </w:style>
  <w:style w:type="paragraph" w:customStyle="1" w:styleId="Appendix">
    <w:name w:val="Appendix_#"/>
    <w:basedOn w:val="Annex"/>
    <w:next w:val="AppendixRef"/>
    <w:rsid w:val="009046D6"/>
  </w:style>
  <w:style w:type="paragraph" w:customStyle="1" w:styleId="AppendixRef">
    <w:name w:val="Appendix_Ref"/>
    <w:basedOn w:val="AnnexRef"/>
    <w:next w:val="AppendixTitle"/>
    <w:rsid w:val="009046D6"/>
  </w:style>
  <w:style w:type="paragraph" w:customStyle="1" w:styleId="AppendixTitle">
    <w:name w:val="Appendix_Title"/>
    <w:basedOn w:val="AnnexTitle"/>
    <w:next w:val="Normal"/>
    <w:rsid w:val="009046D6"/>
  </w:style>
  <w:style w:type="paragraph" w:customStyle="1" w:styleId="RefTitle">
    <w:name w:val="Ref_Title"/>
    <w:basedOn w:val="Normal"/>
    <w:next w:val="RefText"/>
    <w:rsid w:val="009046D6"/>
    <w:pPr>
      <w:spacing w:before="480"/>
      <w:jc w:val="center"/>
    </w:pPr>
    <w:rPr>
      <w:caps/>
    </w:rPr>
  </w:style>
  <w:style w:type="paragraph" w:customStyle="1" w:styleId="RefText">
    <w:name w:val="Ref_Text"/>
    <w:basedOn w:val="Normal"/>
    <w:rsid w:val="009046D6"/>
    <w:pPr>
      <w:ind w:left="794" w:hanging="794"/>
    </w:pPr>
  </w:style>
  <w:style w:type="paragraph" w:customStyle="1" w:styleId="Equation">
    <w:name w:val="Equation"/>
    <w:basedOn w:val="Normal"/>
    <w:rsid w:val="009046D6"/>
    <w:pPr>
      <w:tabs>
        <w:tab w:val="clear" w:pos="1191"/>
        <w:tab w:val="clear" w:pos="1588"/>
        <w:tab w:val="clear" w:pos="1985"/>
        <w:tab w:val="center" w:pos="4876"/>
        <w:tab w:val="right" w:pos="9752"/>
      </w:tabs>
    </w:pPr>
  </w:style>
  <w:style w:type="paragraph" w:customStyle="1" w:styleId="Head">
    <w:name w:val="Head"/>
    <w:basedOn w:val="Normal"/>
    <w:rsid w:val="009046D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046D6"/>
    <w:pPr>
      <w:keepNext/>
      <w:keepLines/>
      <w:spacing w:before="240"/>
      <w:jc w:val="center"/>
    </w:pPr>
    <w:rPr>
      <w:b/>
      <w:caps/>
    </w:rPr>
  </w:style>
  <w:style w:type="paragraph" w:customStyle="1" w:styleId="Normalaftertitle">
    <w:name w:val="Normal after title"/>
    <w:basedOn w:val="Normal"/>
    <w:next w:val="Normal"/>
    <w:rsid w:val="009046D6"/>
    <w:pPr>
      <w:spacing w:before="320"/>
    </w:pPr>
  </w:style>
  <w:style w:type="paragraph" w:customStyle="1" w:styleId="call">
    <w:name w:val="call"/>
    <w:basedOn w:val="Normal"/>
    <w:next w:val="Normal"/>
    <w:rsid w:val="009046D6"/>
    <w:pPr>
      <w:keepNext/>
      <w:keepLines/>
      <w:spacing w:before="160"/>
      <w:ind w:left="794"/>
    </w:pPr>
    <w:rPr>
      <w:i/>
    </w:rPr>
  </w:style>
  <w:style w:type="paragraph" w:customStyle="1" w:styleId="Rec">
    <w:name w:val="Rec_#"/>
    <w:basedOn w:val="Normal"/>
    <w:next w:val="RecTitle"/>
    <w:rsid w:val="009046D6"/>
    <w:pPr>
      <w:keepNext/>
      <w:keepLines/>
      <w:spacing w:before="480"/>
      <w:jc w:val="center"/>
    </w:pPr>
    <w:rPr>
      <w:caps/>
    </w:rPr>
  </w:style>
  <w:style w:type="paragraph" w:customStyle="1" w:styleId="toc0">
    <w:name w:val="toc 0"/>
    <w:basedOn w:val="Normal"/>
    <w:next w:val="TOC1"/>
    <w:rsid w:val="009046D6"/>
    <w:pPr>
      <w:tabs>
        <w:tab w:val="clear" w:pos="794"/>
        <w:tab w:val="clear" w:pos="1191"/>
        <w:tab w:val="clear" w:pos="1588"/>
        <w:tab w:val="clear" w:pos="1985"/>
        <w:tab w:val="right" w:pos="9781"/>
      </w:tabs>
    </w:pPr>
    <w:rPr>
      <w:b/>
    </w:rPr>
  </w:style>
  <w:style w:type="paragraph" w:styleId="List">
    <w:name w:val="List"/>
    <w:basedOn w:val="Normal"/>
    <w:rsid w:val="009046D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046D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046D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046D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9046D6"/>
    <w:pPr>
      <w:spacing w:before="160"/>
      <w:ind w:left="0" w:firstLine="0"/>
      <w:outlineLvl w:val="9"/>
    </w:pPr>
  </w:style>
  <w:style w:type="paragraph" w:customStyle="1" w:styleId="Keywords">
    <w:name w:val="Keywords"/>
    <w:basedOn w:val="Normal"/>
    <w:rsid w:val="009046D6"/>
    <w:pPr>
      <w:tabs>
        <w:tab w:val="clear" w:pos="1191"/>
        <w:tab w:val="clear" w:pos="1588"/>
      </w:tabs>
      <w:ind w:left="794" w:hanging="794"/>
    </w:pPr>
  </w:style>
  <w:style w:type="paragraph" w:customStyle="1" w:styleId="ASN1">
    <w:name w:val="ASN.1"/>
    <w:basedOn w:val="Normal"/>
    <w:rsid w:val="009046D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9046D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9046D6"/>
    <w:pPr>
      <w:tabs>
        <w:tab w:val="clear" w:pos="794"/>
        <w:tab w:val="clear" w:pos="1191"/>
        <w:tab w:val="clear" w:pos="1588"/>
        <w:tab w:val="clear" w:pos="1985"/>
      </w:tabs>
      <w:spacing w:before="480"/>
      <w:ind w:left="4961"/>
    </w:pPr>
  </w:style>
  <w:style w:type="paragraph" w:customStyle="1" w:styleId="meeting">
    <w:name w:val="meeting"/>
    <w:basedOn w:val="Head"/>
    <w:next w:val="Head"/>
    <w:rsid w:val="009046D6"/>
    <w:pPr>
      <w:tabs>
        <w:tab w:val="left" w:pos="7371"/>
      </w:tabs>
      <w:spacing w:after="560"/>
    </w:pPr>
  </w:style>
  <w:style w:type="paragraph" w:customStyle="1" w:styleId="BodyText">
    <w:name w:val="BodyText"/>
    <w:basedOn w:val="Normal"/>
    <w:rsid w:val="009046D6"/>
    <w:pPr>
      <w:tabs>
        <w:tab w:val="clear" w:pos="794"/>
        <w:tab w:val="clear" w:pos="1191"/>
        <w:tab w:val="clear" w:pos="1588"/>
        <w:tab w:val="clear" w:pos="1985"/>
      </w:tabs>
      <w:spacing w:before="240"/>
    </w:pPr>
  </w:style>
  <w:style w:type="paragraph" w:customStyle="1" w:styleId="ITUadres">
    <w:name w:val="ITU_adres"/>
    <w:basedOn w:val="Normal"/>
    <w:rsid w:val="009046D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9046D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9046D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9046D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9046D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9046D6"/>
  </w:style>
  <w:style w:type="paragraph" w:customStyle="1" w:styleId="ITUbureau">
    <w:name w:val="ITU_bureau"/>
    <w:basedOn w:val="Normal"/>
    <w:rsid w:val="009046D6"/>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9046D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9046D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9046D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9046D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9046D6"/>
    <w:pPr>
      <w:tabs>
        <w:tab w:val="left" w:pos="1418"/>
        <w:tab w:val="left" w:pos="1985"/>
        <w:tab w:val="left" w:pos="2268"/>
      </w:tabs>
      <w:ind w:firstLine="1304"/>
    </w:pPr>
  </w:style>
  <w:style w:type="paragraph" w:customStyle="1" w:styleId="Tiret">
    <w:name w:val="Tiret"/>
    <w:basedOn w:val="Normal"/>
    <w:rsid w:val="009046D6"/>
    <w:pPr>
      <w:tabs>
        <w:tab w:val="clear" w:pos="794"/>
        <w:tab w:val="clear" w:pos="1191"/>
        <w:tab w:val="clear" w:pos="1588"/>
        <w:tab w:val="clear" w:pos="1985"/>
      </w:tabs>
      <w:ind w:left="-680"/>
    </w:pPr>
  </w:style>
  <w:style w:type="paragraph" w:customStyle="1" w:styleId="NormFoot">
    <w:name w:val="Norm_Foot"/>
    <w:basedOn w:val="Normal"/>
    <w:rsid w:val="009046D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9046D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9046D6"/>
    <w:pPr>
      <w:keepLines/>
      <w:tabs>
        <w:tab w:val="left" w:pos="1361"/>
        <w:tab w:val="left" w:pos="1758"/>
        <w:tab w:val="left" w:pos="2155"/>
        <w:tab w:val="left" w:pos="2552"/>
      </w:tabs>
      <w:ind w:left="567"/>
    </w:pPr>
  </w:style>
  <w:style w:type="paragraph" w:customStyle="1" w:styleId="headingi">
    <w:name w:val="heading_i"/>
    <w:basedOn w:val="Heading3"/>
    <w:next w:val="Normal"/>
    <w:rsid w:val="009046D6"/>
    <w:pPr>
      <w:spacing w:before="160"/>
      <w:ind w:left="0" w:firstLine="0"/>
      <w:outlineLvl w:val="9"/>
    </w:pPr>
    <w:rPr>
      <w:b w:val="0"/>
      <w:i/>
    </w:rPr>
  </w:style>
  <w:style w:type="character" w:styleId="Hyperlink">
    <w:name w:val="Hyperlink"/>
    <w:uiPriority w:val="99"/>
    <w:rsid w:val="009046D6"/>
    <w:rPr>
      <w:color w:val="0000FF"/>
      <w:u w:val="single"/>
    </w:rPr>
  </w:style>
  <w:style w:type="paragraph" w:customStyle="1" w:styleId="Qlist">
    <w:name w:val="Qlist"/>
    <w:basedOn w:val="Normal"/>
    <w:rsid w:val="009046D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9046D6"/>
    <w:pPr>
      <w:tabs>
        <w:tab w:val="left" w:pos="397"/>
      </w:tabs>
    </w:pPr>
  </w:style>
  <w:style w:type="paragraph" w:customStyle="1" w:styleId="FirstFooter">
    <w:name w:val="FirstFooter"/>
    <w:basedOn w:val="Footer"/>
    <w:rsid w:val="009046D6"/>
    <w:pPr>
      <w:tabs>
        <w:tab w:val="clear" w:pos="5954"/>
        <w:tab w:val="clear" w:pos="9639"/>
      </w:tabs>
    </w:pPr>
    <w:rPr>
      <w:caps w:val="0"/>
    </w:rPr>
  </w:style>
  <w:style w:type="paragraph" w:styleId="TOC9">
    <w:name w:val="toc 9"/>
    <w:basedOn w:val="TOC3"/>
    <w:semiHidden/>
    <w:rsid w:val="009046D6"/>
  </w:style>
  <w:style w:type="paragraph" w:styleId="BodyText0">
    <w:name w:val="Body Text"/>
    <w:basedOn w:val="Normal"/>
    <w:rsid w:val="009046D6"/>
    <w:pPr>
      <w:spacing w:after="120"/>
    </w:pPr>
  </w:style>
  <w:style w:type="character" w:styleId="PageNumber">
    <w:name w:val="page number"/>
    <w:basedOn w:val="DefaultParagraphFont"/>
    <w:rsid w:val="009046D6"/>
  </w:style>
  <w:style w:type="paragraph" w:customStyle="1" w:styleId="AnnexNo">
    <w:name w:val="Annex_No"/>
    <w:basedOn w:val="Normal"/>
    <w:next w:val="Normal"/>
    <w:rsid w:val="009046D6"/>
    <w:pPr>
      <w:keepNext/>
      <w:keepLines/>
      <w:spacing w:before="480" w:after="80"/>
      <w:jc w:val="center"/>
    </w:pPr>
    <w:rPr>
      <w:caps/>
      <w:sz w:val="28"/>
    </w:rPr>
  </w:style>
  <w:style w:type="character" w:styleId="FollowedHyperlink">
    <w:name w:val="FollowedHyperlink"/>
    <w:basedOn w:val="DefaultParagraphFont"/>
    <w:rsid w:val="009046D6"/>
    <w:rPr>
      <w:color w:val="800080" w:themeColor="followedHyperlink"/>
      <w:u w:val="single"/>
    </w:rPr>
  </w:style>
  <w:style w:type="paragraph" w:customStyle="1" w:styleId="pnew">
    <w:name w:val="pnew"/>
    <w:basedOn w:val="Normal"/>
    <w:rsid w:val="009046D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9046D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9046D6"/>
    <w:rPr>
      <w:rFonts w:ascii="Tahoma" w:hAnsi="Tahoma" w:cs="Tahoma"/>
      <w:sz w:val="16"/>
      <w:szCs w:val="16"/>
    </w:rPr>
  </w:style>
  <w:style w:type="table" w:styleId="TableGrid">
    <w:name w:val="Table Grid"/>
    <w:basedOn w:val="TableNormal"/>
    <w:rsid w:val="009046D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9046D6"/>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046D6"/>
    <w:rPr>
      <w:rFonts w:ascii="Calibri" w:hAnsi="Calibri"/>
      <w:sz w:val="22"/>
      <w:lang w:val="fr-FR" w:eastAsia="en-US"/>
    </w:rPr>
  </w:style>
  <w:style w:type="paragraph" w:customStyle="1" w:styleId="itu">
    <w:name w:val="itu"/>
    <w:basedOn w:val="Normal"/>
    <w:rsid w:val="009046D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046D6"/>
    <w:rPr>
      <w:rFonts w:ascii="Calibri" w:hAnsi="Calibri"/>
      <w:caps/>
      <w:sz w:val="18"/>
      <w:lang w:val="fr-FR" w:eastAsia="en-US"/>
    </w:rPr>
  </w:style>
  <w:style w:type="paragraph" w:customStyle="1" w:styleId="Reasons">
    <w:name w:val="Reasons"/>
    <w:basedOn w:val="Normal"/>
    <w:qFormat/>
    <w:rsid w:val="009046D6"/>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904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9046D6"/>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9F0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regionalgroups/sg02-afr" TargetMode="Externa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en/ITU-T/regionalgroups/sg02-afr/Pages/default.aspx" TargetMode="Externa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sg2@itu.int" TargetMode="External"/><Relationship Id="rId20" Type="http://schemas.openxmlformats.org/officeDocument/2006/relationships/hyperlink" Target="https://www.itu.int/en/ITU-T/regionalgroups/sg02-afr/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2RG.AFR-210517-TD-PLEN-0126" TargetMode="External"/><Relationship Id="rId24" Type="http://schemas.openxmlformats.org/officeDocument/2006/relationships/hyperlink" Target="mailto:fellowships@itu.int" TargetMode="External"/><Relationship Id="rId5" Type="http://schemas.openxmlformats.org/officeDocument/2006/relationships/webSettings" Target="webSettings.xml"/><Relationship Id="rId15" Type="http://schemas.openxmlformats.org/officeDocument/2006/relationships/hyperlink" Target="https://www.itu.int/en/ITU-T/studygroups/2017-2020/02/sg2rgafr/Pages/default.aspx" TargetMode="External"/><Relationship Id="rId23" Type="http://schemas.openxmlformats.org/officeDocument/2006/relationships/hyperlink" Target="https://www.itu.int/en/ITU-T/regionalgroups/sg02-afr/Pages/default.aspx" TargetMode="External"/><Relationship Id="rId28" Type="http://schemas.openxmlformats.org/officeDocument/2006/relationships/footer" Target="footer2.xml"/><Relationship Id="rId10" Type="http://schemas.openxmlformats.org/officeDocument/2006/relationships/hyperlink" Target="https://www.itu.int/en/ITU-T/regionalgroups/sg02-afr/Pages/default.aspx" TargetMode="External"/><Relationship Id="rId19" Type="http://schemas.openxmlformats.org/officeDocument/2006/relationships/hyperlink" Target="mailto:tsbsg2@itu.int"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ifa/t/2017/sg2/exchange/rgs/SG2RG-AFR_Jan2023_Form-E-fellowships.docx" TargetMode="External"/><Relationship Id="rId22" Type="http://schemas.openxmlformats.org/officeDocument/2006/relationships/hyperlink" Target="https://remote.itu.int/"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57</TotalTime>
  <Pages>4</Pages>
  <Words>1196</Words>
  <Characters>7785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8964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9</cp:revision>
  <cp:lastPrinted>2022-11-22T09:03:00Z</cp:lastPrinted>
  <dcterms:created xsi:type="dcterms:W3CDTF">2022-11-21T08:24:00Z</dcterms:created>
  <dcterms:modified xsi:type="dcterms:W3CDTF">2022-11-22T09:03:00Z</dcterms:modified>
</cp:coreProperties>
</file>