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672D83" w14:paraId="1D0C67D1" w14:textId="77777777" w:rsidTr="009B0563">
        <w:trPr>
          <w:cantSplit/>
        </w:trPr>
        <w:tc>
          <w:tcPr>
            <w:tcW w:w="6613" w:type="dxa"/>
            <w:vAlign w:val="center"/>
          </w:tcPr>
          <w:p w14:paraId="39140664" w14:textId="77777777" w:rsidR="009B0563" w:rsidRPr="00672D83" w:rsidRDefault="009B0563" w:rsidP="004B520A">
            <w:pPr>
              <w:rPr>
                <w:rFonts w:ascii="Verdana" w:hAnsi="Verdana" w:cs="Times New Roman Bold"/>
                <w:b/>
                <w:bCs/>
                <w:sz w:val="22"/>
                <w:szCs w:val="22"/>
              </w:rPr>
            </w:pPr>
            <w:r w:rsidRPr="00672D83">
              <w:rPr>
                <w:rFonts w:ascii="Verdana" w:hAnsi="Verdana" w:cs="Times New Roman Bold"/>
                <w:b/>
                <w:bCs/>
                <w:sz w:val="22"/>
                <w:szCs w:val="22"/>
              </w:rPr>
              <w:t>Asamblea Mundial de Normalización de las Telecomunicaciones (AMNT-20)</w:t>
            </w:r>
          </w:p>
          <w:p w14:paraId="5045EF7C" w14:textId="77777777" w:rsidR="009B0563" w:rsidRPr="00672D83" w:rsidRDefault="00B9677E" w:rsidP="00776E3D">
            <w:pPr>
              <w:spacing w:before="0"/>
              <w:rPr>
                <w:rFonts w:ascii="Verdana" w:hAnsi="Verdana" w:cs="Times New Roman Bold"/>
                <w:b/>
                <w:bCs/>
                <w:sz w:val="19"/>
                <w:szCs w:val="19"/>
              </w:rPr>
            </w:pPr>
            <w:r w:rsidRPr="00672D83">
              <w:rPr>
                <w:rFonts w:ascii="Verdana" w:hAnsi="Verdana" w:cs="Times New Roman Bold"/>
                <w:b/>
                <w:bCs/>
                <w:sz w:val="18"/>
                <w:szCs w:val="18"/>
              </w:rPr>
              <w:t>Ginebra</w:t>
            </w:r>
            <w:r w:rsidR="0094505C" w:rsidRPr="00672D83">
              <w:rPr>
                <w:rFonts w:ascii="Verdana" w:hAnsi="Verdana" w:cs="Times New Roman Bold"/>
                <w:b/>
                <w:bCs/>
                <w:sz w:val="18"/>
                <w:szCs w:val="18"/>
              </w:rPr>
              <w:t>,</w:t>
            </w:r>
            <w:r w:rsidR="00776E3D" w:rsidRPr="00672D83">
              <w:rPr>
                <w:rFonts w:ascii="Verdana" w:hAnsi="Verdana" w:cs="Times New Roman Bold"/>
                <w:b/>
                <w:bCs/>
                <w:sz w:val="18"/>
                <w:szCs w:val="18"/>
              </w:rPr>
              <w:t xml:space="preserve"> </w:t>
            </w:r>
            <w:r w:rsidR="0094505C" w:rsidRPr="00672D83">
              <w:rPr>
                <w:rFonts w:ascii="Verdana" w:hAnsi="Verdana" w:cs="Times New Roman Bold"/>
                <w:b/>
                <w:bCs/>
                <w:sz w:val="18"/>
                <w:szCs w:val="18"/>
              </w:rPr>
              <w:t>1</w:t>
            </w:r>
            <w:r w:rsidR="00776E3D" w:rsidRPr="00672D83">
              <w:rPr>
                <w:rFonts w:ascii="Verdana" w:hAnsi="Verdana" w:cs="Times New Roman Bold"/>
                <w:b/>
                <w:bCs/>
                <w:sz w:val="18"/>
                <w:szCs w:val="18"/>
              </w:rPr>
              <w:t>-</w:t>
            </w:r>
            <w:r w:rsidR="0094505C" w:rsidRPr="00672D83">
              <w:rPr>
                <w:rFonts w:ascii="Verdana" w:hAnsi="Verdana" w:cs="Times New Roman Bold"/>
                <w:b/>
                <w:bCs/>
                <w:sz w:val="18"/>
                <w:szCs w:val="18"/>
              </w:rPr>
              <w:t xml:space="preserve">9 </w:t>
            </w:r>
            <w:r w:rsidR="00776E3D" w:rsidRPr="00672D83">
              <w:rPr>
                <w:rFonts w:ascii="Verdana" w:hAnsi="Verdana" w:cs="Times New Roman Bold"/>
                <w:b/>
                <w:bCs/>
                <w:sz w:val="18"/>
                <w:szCs w:val="18"/>
              </w:rPr>
              <w:t>de marzo de 202</w:t>
            </w:r>
            <w:r w:rsidR="0094505C" w:rsidRPr="00672D83">
              <w:rPr>
                <w:rFonts w:ascii="Verdana" w:hAnsi="Verdana" w:cs="Times New Roman Bold"/>
                <w:b/>
                <w:bCs/>
                <w:sz w:val="18"/>
                <w:szCs w:val="18"/>
              </w:rPr>
              <w:t>2</w:t>
            </w:r>
          </w:p>
        </w:tc>
        <w:tc>
          <w:tcPr>
            <w:tcW w:w="3198" w:type="dxa"/>
            <w:vAlign w:val="center"/>
          </w:tcPr>
          <w:p w14:paraId="26015AFD" w14:textId="77777777" w:rsidR="009B0563" w:rsidRPr="00672D83" w:rsidRDefault="009B0563" w:rsidP="009B0563">
            <w:pPr>
              <w:spacing w:before="0"/>
            </w:pPr>
            <w:r w:rsidRPr="00672D83">
              <w:rPr>
                <w:noProof/>
                <w:lang w:eastAsia="es-ES_tradnl"/>
              </w:rPr>
              <w:drawing>
                <wp:inline distT="0" distB="0" distL="0" distR="0" wp14:anchorId="07705258" wp14:editId="7B13B7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672D83" w14:paraId="4B3742B6" w14:textId="77777777" w:rsidTr="004B520A">
        <w:trPr>
          <w:cantSplit/>
        </w:trPr>
        <w:tc>
          <w:tcPr>
            <w:tcW w:w="6613" w:type="dxa"/>
            <w:tcBorders>
              <w:bottom w:val="single" w:sz="12" w:space="0" w:color="auto"/>
            </w:tcBorders>
          </w:tcPr>
          <w:p w14:paraId="7FF77079" w14:textId="77777777" w:rsidR="00F0220A" w:rsidRPr="00672D83" w:rsidRDefault="00F0220A" w:rsidP="004B520A">
            <w:pPr>
              <w:spacing w:before="0"/>
            </w:pPr>
          </w:p>
        </w:tc>
        <w:tc>
          <w:tcPr>
            <w:tcW w:w="3198" w:type="dxa"/>
            <w:tcBorders>
              <w:bottom w:val="single" w:sz="12" w:space="0" w:color="auto"/>
            </w:tcBorders>
          </w:tcPr>
          <w:p w14:paraId="52A2D0F6" w14:textId="77777777" w:rsidR="00F0220A" w:rsidRPr="00672D83" w:rsidRDefault="00F0220A" w:rsidP="004B520A">
            <w:pPr>
              <w:spacing w:before="0"/>
            </w:pPr>
          </w:p>
        </w:tc>
      </w:tr>
      <w:tr w:rsidR="005A374D" w:rsidRPr="00672D83" w14:paraId="64AF3B78" w14:textId="77777777" w:rsidTr="004B520A">
        <w:trPr>
          <w:cantSplit/>
        </w:trPr>
        <w:tc>
          <w:tcPr>
            <w:tcW w:w="6613" w:type="dxa"/>
            <w:tcBorders>
              <w:top w:val="single" w:sz="12" w:space="0" w:color="auto"/>
            </w:tcBorders>
          </w:tcPr>
          <w:p w14:paraId="220715B0" w14:textId="77777777" w:rsidR="005A374D" w:rsidRPr="00672D83" w:rsidRDefault="005A374D" w:rsidP="004B520A">
            <w:pPr>
              <w:spacing w:before="0"/>
            </w:pPr>
          </w:p>
        </w:tc>
        <w:tc>
          <w:tcPr>
            <w:tcW w:w="3198" w:type="dxa"/>
          </w:tcPr>
          <w:p w14:paraId="04D7C50D" w14:textId="77777777" w:rsidR="005A374D" w:rsidRPr="00672D83" w:rsidRDefault="005A374D" w:rsidP="004B520A">
            <w:pPr>
              <w:spacing w:before="0"/>
              <w:rPr>
                <w:rFonts w:ascii="Verdana" w:hAnsi="Verdana"/>
                <w:b/>
                <w:bCs/>
                <w:sz w:val="20"/>
              </w:rPr>
            </w:pPr>
          </w:p>
        </w:tc>
      </w:tr>
      <w:tr w:rsidR="00E83D45" w:rsidRPr="00672D83" w14:paraId="4FC00327" w14:textId="77777777" w:rsidTr="004B520A">
        <w:trPr>
          <w:cantSplit/>
        </w:trPr>
        <w:tc>
          <w:tcPr>
            <w:tcW w:w="6613" w:type="dxa"/>
          </w:tcPr>
          <w:p w14:paraId="318949D4" w14:textId="77777777" w:rsidR="00E83D45" w:rsidRPr="00672D83" w:rsidRDefault="00E83D45" w:rsidP="004B520A">
            <w:pPr>
              <w:pStyle w:val="Committee"/>
              <w:framePr w:hSpace="0" w:wrap="auto" w:hAnchor="text" w:yAlign="inline"/>
              <w:rPr>
                <w:lang w:val="es-ES_tradnl"/>
              </w:rPr>
            </w:pPr>
            <w:r w:rsidRPr="00672D83">
              <w:rPr>
                <w:lang w:val="es-ES_tradnl"/>
              </w:rPr>
              <w:t>SESIÓN PLENARIA</w:t>
            </w:r>
          </w:p>
        </w:tc>
        <w:tc>
          <w:tcPr>
            <w:tcW w:w="3198" w:type="dxa"/>
          </w:tcPr>
          <w:p w14:paraId="7AE21EAE" w14:textId="77777777" w:rsidR="00E83D45" w:rsidRPr="00672D83" w:rsidRDefault="00E83D45" w:rsidP="002E5627">
            <w:pPr>
              <w:pStyle w:val="DocNumber"/>
              <w:rPr>
                <w:bCs/>
                <w:lang w:val="es-ES_tradnl"/>
              </w:rPr>
            </w:pPr>
            <w:r w:rsidRPr="00672D83">
              <w:rPr>
                <w:lang w:val="es-ES_tradnl"/>
              </w:rPr>
              <w:t>Documento 46-S</w:t>
            </w:r>
          </w:p>
        </w:tc>
      </w:tr>
      <w:tr w:rsidR="00E83D45" w:rsidRPr="00672D83" w14:paraId="052D0EED" w14:textId="77777777" w:rsidTr="004B520A">
        <w:trPr>
          <w:cantSplit/>
        </w:trPr>
        <w:tc>
          <w:tcPr>
            <w:tcW w:w="6613" w:type="dxa"/>
          </w:tcPr>
          <w:p w14:paraId="1445D872" w14:textId="77777777" w:rsidR="00E83D45" w:rsidRPr="00672D83" w:rsidRDefault="00E83D45" w:rsidP="004B520A">
            <w:pPr>
              <w:spacing w:before="0" w:after="48"/>
              <w:rPr>
                <w:rFonts w:ascii="Verdana" w:hAnsi="Verdana"/>
                <w:b/>
                <w:smallCaps/>
                <w:sz w:val="20"/>
              </w:rPr>
            </w:pPr>
          </w:p>
        </w:tc>
        <w:tc>
          <w:tcPr>
            <w:tcW w:w="3198" w:type="dxa"/>
          </w:tcPr>
          <w:p w14:paraId="568D48C2" w14:textId="77777777" w:rsidR="00E83D45" w:rsidRPr="00672D83" w:rsidRDefault="00E83D45" w:rsidP="004B520A">
            <w:pPr>
              <w:spacing w:before="0"/>
              <w:rPr>
                <w:rFonts w:ascii="Verdana" w:hAnsi="Verdana"/>
                <w:b/>
                <w:bCs/>
                <w:sz w:val="20"/>
              </w:rPr>
            </w:pPr>
            <w:r w:rsidRPr="00672D83">
              <w:rPr>
                <w:rFonts w:ascii="Verdana" w:hAnsi="Verdana"/>
                <w:b/>
                <w:sz w:val="20"/>
              </w:rPr>
              <w:t>7 de febrero de 2022</w:t>
            </w:r>
          </w:p>
        </w:tc>
      </w:tr>
      <w:tr w:rsidR="00E83D45" w:rsidRPr="00672D83" w14:paraId="453A5A95" w14:textId="77777777" w:rsidTr="004B520A">
        <w:trPr>
          <w:cantSplit/>
        </w:trPr>
        <w:tc>
          <w:tcPr>
            <w:tcW w:w="6613" w:type="dxa"/>
          </w:tcPr>
          <w:p w14:paraId="2CA24269" w14:textId="77777777" w:rsidR="00E83D45" w:rsidRPr="00672D83" w:rsidRDefault="00E83D45" w:rsidP="004B520A">
            <w:pPr>
              <w:spacing w:before="0"/>
            </w:pPr>
          </w:p>
        </w:tc>
        <w:tc>
          <w:tcPr>
            <w:tcW w:w="3198" w:type="dxa"/>
          </w:tcPr>
          <w:p w14:paraId="67DA8557" w14:textId="77777777" w:rsidR="00E83D45" w:rsidRPr="00672D83" w:rsidRDefault="00E83D45" w:rsidP="004B520A">
            <w:pPr>
              <w:spacing w:before="0"/>
              <w:rPr>
                <w:rFonts w:ascii="Verdana" w:hAnsi="Verdana"/>
                <w:b/>
                <w:bCs/>
                <w:sz w:val="20"/>
              </w:rPr>
            </w:pPr>
            <w:r w:rsidRPr="00672D83">
              <w:rPr>
                <w:rFonts w:ascii="Verdana" w:hAnsi="Verdana"/>
                <w:b/>
                <w:sz w:val="20"/>
              </w:rPr>
              <w:t>Original: inglés</w:t>
            </w:r>
          </w:p>
        </w:tc>
      </w:tr>
      <w:tr w:rsidR="00681766" w:rsidRPr="00672D83" w14:paraId="464E6EBB" w14:textId="77777777" w:rsidTr="004B520A">
        <w:trPr>
          <w:cantSplit/>
        </w:trPr>
        <w:tc>
          <w:tcPr>
            <w:tcW w:w="9811" w:type="dxa"/>
            <w:gridSpan w:val="2"/>
          </w:tcPr>
          <w:p w14:paraId="6AB1E942" w14:textId="77777777" w:rsidR="00681766" w:rsidRPr="00672D83" w:rsidRDefault="00681766" w:rsidP="004B520A">
            <w:pPr>
              <w:spacing w:before="0"/>
              <w:rPr>
                <w:rFonts w:ascii="Verdana" w:hAnsi="Verdana"/>
                <w:b/>
                <w:bCs/>
                <w:sz w:val="20"/>
              </w:rPr>
            </w:pPr>
          </w:p>
        </w:tc>
      </w:tr>
      <w:tr w:rsidR="00E83D45" w:rsidRPr="00672D83" w14:paraId="34FF3497" w14:textId="77777777" w:rsidTr="004B520A">
        <w:trPr>
          <w:cantSplit/>
        </w:trPr>
        <w:tc>
          <w:tcPr>
            <w:tcW w:w="9811" w:type="dxa"/>
            <w:gridSpan w:val="2"/>
          </w:tcPr>
          <w:p w14:paraId="49FAC909" w14:textId="77777777" w:rsidR="00E83D45" w:rsidRPr="00672D83" w:rsidRDefault="00E83D45" w:rsidP="004B520A">
            <w:pPr>
              <w:pStyle w:val="Source"/>
            </w:pPr>
            <w:r w:rsidRPr="00672D83">
              <w:t>Alemania (República Federal de)/Australia/Austria/Bulgaria (República de)/Canadá/Dinamarca/Finlandia/Francia/Hungría/Lituania (República de)/Noruega/Países Bajos (Reino de los)/República Eslovaca/República Checa/Rumania/Reino Unido de Gran Bretaña e Irlanda del Norte/Suecia</w:t>
            </w:r>
          </w:p>
        </w:tc>
      </w:tr>
      <w:tr w:rsidR="00E83D45" w:rsidRPr="00672D83" w14:paraId="089AD600" w14:textId="77777777" w:rsidTr="004B520A">
        <w:trPr>
          <w:cantSplit/>
        </w:trPr>
        <w:tc>
          <w:tcPr>
            <w:tcW w:w="9811" w:type="dxa"/>
            <w:gridSpan w:val="2"/>
          </w:tcPr>
          <w:p w14:paraId="3D9141EC" w14:textId="0265C7E1" w:rsidR="00E83D45" w:rsidRPr="00672D83" w:rsidRDefault="003E2853" w:rsidP="004B520A">
            <w:pPr>
              <w:pStyle w:val="Title1"/>
            </w:pPr>
            <w:r w:rsidRPr="00672D83">
              <w:t>PROPUESTAS PARA LOS TRABAJOS DE LA ASAMBLEA</w:t>
            </w:r>
          </w:p>
        </w:tc>
      </w:tr>
      <w:tr w:rsidR="00E83D45" w:rsidRPr="00672D83" w14:paraId="0E3CD738" w14:textId="77777777" w:rsidTr="004B520A">
        <w:trPr>
          <w:cantSplit/>
        </w:trPr>
        <w:tc>
          <w:tcPr>
            <w:tcW w:w="9811" w:type="dxa"/>
            <w:gridSpan w:val="2"/>
          </w:tcPr>
          <w:p w14:paraId="37107A9E" w14:textId="77777777" w:rsidR="00E83D45" w:rsidRPr="00672D83" w:rsidRDefault="00E83D45" w:rsidP="004B520A">
            <w:pPr>
              <w:pStyle w:val="Title2"/>
            </w:pPr>
          </w:p>
        </w:tc>
      </w:tr>
      <w:tr w:rsidR="00E83D45" w:rsidRPr="00672D83" w14:paraId="1412FBB9" w14:textId="77777777" w:rsidTr="002E5627">
        <w:trPr>
          <w:cantSplit/>
          <w:trHeight w:hRule="exact" w:val="120"/>
        </w:trPr>
        <w:tc>
          <w:tcPr>
            <w:tcW w:w="9811" w:type="dxa"/>
            <w:gridSpan w:val="2"/>
          </w:tcPr>
          <w:p w14:paraId="4F192E53" w14:textId="77777777" w:rsidR="00E83D45" w:rsidRPr="00672D83" w:rsidRDefault="00E83D45" w:rsidP="004B520A">
            <w:pPr>
              <w:pStyle w:val="Agendaitem"/>
            </w:pPr>
          </w:p>
        </w:tc>
      </w:tr>
    </w:tbl>
    <w:p w14:paraId="374FAC51" w14:textId="77777777" w:rsidR="006B0F54" w:rsidRPr="00672D83" w:rsidRDefault="006B0F54" w:rsidP="006B0F54"/>
    <w:tbl>
      <w:tblPr>
        <w:tblW w:w="5089" w:type="pct"/>
        <w:tblLayout w:type="fixed"/>
        <w:tblLook w:val="0000" w:firstRow="0" w:lastRow="0" w:firstColumn="0" w:lastColumn="0" w:noHBand="0" w:noVBand="0"/>
      </w:tblPr>
      <w:tblGrid>
        <w:gridCol w:w="1560"/>
        <w:gridCol w:w="4020"/>
        <w:gridCol w:w="4231"/>
      </w:tblGrid>
      <w:tr w:rsidR="006B0F54" w:rsidRPr="00672D83" w14:paraId="7DC68B07" w14:textId="77777777" w:rsidTr="00193AD1">
        <w:trPr>
          <w:cantSplit/>
        </w:trPr>
        <w:tc>
          <w:tcPr>
            <w:tcW w:w="1560" w:type="dxa"/>
          </w:tcPr>
          <w:p w14:paraId="06927D8A" w14:textId="77777777" w:rsidR="006B0F54" w:rsidRPr="00672D83" w:rsidRDefault="006B0F54" w:rsidP="00193AD1">
            <w:r w:rsidRPr="00672D83">
              <w:rPr>
                <w:b/>
                <w:bCs/>
              </w:rPr>
              <w:t>Resumen:</w:t>
            </w:r>
          </w:p>
        </w:tc>
        <w:tc>
          <w:tcPr>
            <w:tcW w:w="8251" w:type="dxa"/>
            <w:gridSpan w:val="2"/>
          </w:tcPr>
          <w:p w14:paraId="3CE6D001" w14:textId="1E9F47A4" w:rsidR="006B0F54" w:rsidRPr="00672D83" w:rsidRDefault="003E2853" w:rsidP="001C1F58">
            <w:pPr>
              <w:rPr>
                <w:color w:val="000000" w:themeColor="text1"/>
              </w:rPr>
            </w:pPr>
            <w:r w:rsidRPr="00672D83">
              <w:rPr>
                <w:color w:val="000000" w:themeColor="text1"/>
              </w:rPr>
              <w:t xml:space="preserve">Este documento es una contribución de varios países sobre los procedimientos de trabajo para la AMNT-20 (incluidos el horario de trabajo y el </w:t>
            </w:r>
            <w:r w:rsidR="001C1F58" w:rsidRPr="00672D83">
              <w:rPr>
                <w:color w:val="000000" w:themeColor="text1"/>
              </w:rPr>
              <w:t>soporte</w:t>
            </w:r>
            <w:r w:rsidRPr="00672D83">
              <w:rPr>
                <w:color w:val="000000" w:themeColor="text1"/>
              </w:rPr>
              <w:t xml:space="preserve"> a la participación a distancia), para su aprobación en la Plenaria de apertura. </w:t>
            </w:r>
            <w:r w:rsidR="009C2526" w:rsidRPr="00672D83">
              <w:rPr>
                <w:color w:val="000000" w:themeColor="text1"/>
              </w:rPr>
              <w:t>Los signatarios de la misma consideran que deben adoptarse medidas e</w:t>
            </w:r>
            <w:r w:rsidR="00672D83">
              <w:rPr>
                <w:color w:val="000000" w:themeColor="text1"/>
              </w:rPr>
              <w:t>xcepcionales durante la presente</w:t>
            </w:r>
            <w:r w:rsidR="009C2526" w:rsidRPr="00672D83">
              <w:rPr>
                <w:color w:val="000000" w:themeColor="text1"/>
              </w:rPr>
              <w:t xml:space="preserve"> AMNT debido a los indudables retos que se presentan para la participación, tanto presencial como virtual, debido a la pandemia de la COVID</w:t>
            </w:r>
            <w:r w:rsidR="008B5C32" w:rsidRPr="00672D83">
              <w:rPr>
                <w:color w:val="000000" w:themeColor="text1"/>
              </w:rPr>
              <w:noBreakHyphen/>
            </w:r>
            <w:r w:rsidR="009C2526" w:rsidRPr="00672D83">
              <w:rPr>
                <w:color w:val="000000" w:themeColor="text1"/>
              </w:rPr>
              <w:t xml:space="preserve">19. Se propone que no se permita ninguna reunión importante relacionada con los trabajos de la Asamblea, como </w:t>
            </w:r>
            <w:r w:rsidR="00AE1F5B" w:rsidRPr="00672D83">
              <w:rPr>
                <w:color w:val="000000" w:themeColor="text1"/>
              </w:rPr>
              <w:t xml:space="preserve">las </w:t>
            </w:r>
            <w:r w:rsidR="009C2526" w:rsidRPr="00672D83">
              <w:rPr>
                <w:color w:val="000000" w:themeColor="text1"/>
              </w:rPr>
              <w:t>reuniones de</w:t>
            </w:r>
            <w:r w:rsidR="00AE1F5B" w:rsidRPr="00672D83">
              <w:rPr>
                <w:color w:val="000000" w:themeColor="text1"/>
              </w:rPr>
              <w:t xml:space="preserve"> las</w:t>
            </w:r>
            <w:r w:rsidR="009C2526" w:rsidRPr="00672D83">
              <w:rPr>
                <w:color w:val="000000" w:themeColor="text1"/>
              </w:rPr>
              <w:t xml:space="preserve"> Comisiones, </w:t>
            </w:r>
            <w:r w:rsidR="00AE1F5B" w:rsidRPr="00672D83">
              <w:rPr>
                <w:color w:val="000000" w:themeColor="text1"/>
              </w:rPr>
              <w:t xml:space="preserve">los </w:t>
            </w:r>
            <w:r w:rsidR="009C2526" w:rsidRPr="00672D83">
              <w:rPr>
                <w:color w:val="000000" w:themeColor="text1"/>
              </w:rPr>
              <w:t xml:space="preserve">Grupos de Redacción, así como </w:t>
            </w:r>
            <w:r w:rsidR="007E2F2C" w:rsidRPr="00672D83">
              <w:rPr>
                <w:color w:val="000000" w:themeColor="text1"/>
              </w:rPr>
              <w:t xml:space="preserve">las </w:t>
            </w:r>
            <w:r w:rsidR="009C2526" w:rsidRPr="00672D83">
              <w:rPr>
                <w:color w:val="000000" w:themeColor="text1"/>
              </w:rPr>
              <w:t>reuniones de grupos ad hoc e informales, fuera del horario de trabajo definido de 8.00 a 19.00 horas de lunes a viernes</w:t>
            </w:r>
            <w:r w:rsidR="007E2F2C" w:rsidRPr="00672D83">
              <w:rPr>
                <w:color w:val="000000" w:themeColor="text1"/>
              </w:rPr>
              <w:t xml:space="preserve">. No se incluyen en esta propuesta las reuniones de las delegaciones o las reuniones del personal operativo de la UIT, etc. Se propone asimismo que una herramienta de participación a distancia </w:t>
            </w:r>
            <w:r w:rsidR="00551BDE" w:rsidRPr="00672D83">
              <w:rPr>
                <w:color w:val="000000" w:themeColor="text1"/>
              </w:rPr>
              <w:t xml:space="preserve">de </w:t>
            </w:r>
            <w:r w:rsidR="00AE1F5B" w:rsidRPr="00672D83">
              <w:rPr>
                <w:color w:val="000000" w:themeColor="text1"/>
              </w:rPr>
              <w:t>soporte</w:t>
            </w:r>
            <w:r w:rsidR="007E2F2C" w:rsidRPr="00672D83">
              <w:rPr>
                <w:color w:val="000000" w:themeColor="text1"/>
              </w:rPr>
              <w:t xml:space="preserve"> </w:t>
            </w:r>
            <w:r w:rsidR="00551BDE" w:rsidRPr="00672D83">
              <w:rPr>
                <w:color w:val="000000" w:themeColor="text1"/>
              </w:rPr>
              <w:t xml:space="preserve">a </w:t>
            </w:r>
            <w:r w:rsidR="007E2F2C" w:rsidRPr="00672D83">
              <w:rPr>
                <w:color w:val="000000" w:themeColor="text1"/>
              </w:rPr>
              <w:t xml:space="preserve">todas estas reuniones importantes para garantizar que no se excluye la participación </w:t>
            </w:r>
            <w:r w:rsidR="00AE1F5B" w:rsidRPr="00672D83">
              <w:rPr>
                <w:color w:val="000000" w:themeColor="text1"/>
              </w:rPr>
              <w:t xml:space="preserve">de </w:t>
            </w:r>
            <w:r w:rsidR="007E2F2C" w:rsidRPr="00672D83">
              <w:rPr>
                <w:color w:val="000000" w:themeColor="text1"/>
              </w:rPr>
              <w:t xml:space="preserve">los Miembros que no pueden asistir presencialmente. Finalmente, los signatarios proponen que, en los casos en que no se puede alcanzar un consenso sobre las Resoluciones y las Recomendaciones, es preferible que los Estados Miembros acuerden </w:t>
            </w:r>
            <w:r w:rsidR="00AE1F5B" w:rsidRPr="00672D83">
              <w:rPr>
                <w:color w:val="000000" w:themeColor="text1"/>
              </w:rPr>
              <w:t>no realizar</w:t>
            </w:r>
            <w:r w:rsidR="007E2F2C" w:rsidRPr="00672D83">
              <w:rPr>
                <w:color w:val="000000" w:themeColor="text1"/>
              </w:rPr>
              <w:t xml:space="preserve"> </w:t>
            </w:r>
            <w:r w:rsidR="008B5C32" w:rsidRPr="00672D83">
              <w:rPr>
                <w:color w:val="000000" w:themeColor="text1"/>
              </w:rPr>
              <w:t>"</w:t>
            </w:r>
            <w:r w:rsidR="00AE1F5B" w:rsidRPr="00672D83">
              <w:rPr>
                <w:color w:val="000000" w:themeColor="text1"/>
              </w:rPr>
              <w:t>ningún cambio</w:t>
            </w:r>
            <w:r w:rsidR="008B5C32" w:rsidRPr="00672D83">
              <w:rPr>
                <w:color w:val="000000" w:themeColor="text1"/>
              </w:rPr>
              <w:t>"</w:t>
            </w:r>
            <w:r w:rsidR="00AE1F5B" w:rsidRPr="00672D83">
              <w:rPr>
                <w:color w:val="000000" w:themeColor="text1"/>
              </w:rPr>
              <w:t xml:space="preserve"> en vez de votar</w:t>
            </w:r>
            <w:r w:rsidRPr="00672D83">
              <w:rPr>
                <w:color w:val="000000" w:themeColor="text1"/>
              </w:rPr>
              <w:t>.</w:t>
            </w:r>
          </w:p>
        </w:tc>
      </w:tr>
      <w:tr w:rsidR="0051705A" w:rsidRPr="00672D83" w14:paraId="58E15294" w14:textId="77777777" w:rsidTr="003E2853">
        <w:trPr>
          <w:cantSplit/>
        </w:trPr>
        <w:tc>
          <w:tcPr>
            <w:tcW w:w="1560" w:type="dxa"/>
          </w:tcPr>
          <w:p w14:paraId="44D0957C" w14:textId="77777777" w:rsidR="0051705A" w:rsidRPr="00672D83" w:rsidRDefault="0051705A" w:rsidP="0051705A">
            <w:pPr>
              <w:rPr>
                <w:b/>
                <w:bCs/>
              </w:rPr>
            </w:pPr>
            <w:r w:rsidRPr="00672D83">
              <w:rPr>
                <w:b/>
                <w:bCs/>
              </w:rPr>
              <w:t>Contacto:</w:t>
            </w:r>
          </w:p>
        </w:tc>
        <w:tc>
          <w:tcPr>
            <w:tcW w:w="4020" w:type="dxa"/>
          </w:tcPr>
          <w:p w14:paraId="11039F53" w14:textId="35925076" w:rsidR="0051705A" w:rsidRPr="00672D83" w:rsidRDefault="003E2853" w:rsidP="003E2853">
            <w:r w:rsidRPr="00672D83">
              <w:t>Oliver Chapman</w:t>
            </w:r>
            <w:r w:rsidRPr="00672D83">
              <w:br/>
              <w:t>Ofcom</w:t>
            </w:r>
            <w:r w:rsidRPr="00672D83">
              <w:br/>
              <w:t>UK</w:t>
            </w:r>
          </w:p>
        </w:tc>
        <w:tc>
          <w:tcPr>
            <w:tcW w:w="4231" w:type="dxa"/>
          </w:tcPr>
          <w:p w14:paraId="5303EE7F" w14:textId="0992809B" w:rsidR="0051705A" w:rsidRPr="00672D83" w:rsidRDefault="0051705A" w:rsidP="003E2853">
            <w:pPr>
              <w:tabs>
                <w:tab w:val="left" w:pos="873"/>
              </w:tabs>
            </w:pPr>
            <w:r w:rsidRPr="00672D83">
              <w:t>Correo</w:t>
            </w:r>
            <w:r w:rsidR="00507C36" w:rsidRPr="00672D83">
              <w:t>-e</w:t>
            </w:r>
            <w:r w:rsidRPr="00672D83">
              <w:t>:</w:t>
            </w:r>
            <w:r w:rsidR="003E2853" w:rsidRPr="00672D83">
              <w:t xml:space="preserve"> </w:t>
            </w:r>
            <w:hyperlink r:id="rId11" w:history="1">
              <w:r w:rsidR="003E2853" w:rsidRPr="00672D83">
                <w:rPr>
                  <w:rStyle w:val="Hyperlink"/>
                </w:rPr>
                <w:t>oliver.chapman@ofcom.org.uk</w:t>
              </w:r>
            </w:hyperlink>
          </w:p>
        </w:tc>
      </w:tr>
    </w:tbl>
    <w:p w14:paraId="5729ECCD" w14:textId="77777777" w:rsidR="0051705A" w:rsidRPr="00672D83" w:rsidRDefault="0051705A" w:rsidP="00C25B5B"/>
    <w:p w14:paraId="7E6E6A08" w14:textId="77777777" w:rsidR="00B07178" w:rsidRPr="00672D83" w:rsidRDefault="00B07178" w:rsidP="00C25B5B">
      <w:r w:rsidRPr="00672D83">
        <w:br w:type="page"/>
      </w:r>
    </w:p>
    <w:p w14:paraId="6CE6B4E2" w14:textId="77777777" w:rsidR="00E83D45" w:rsidRPr="00672D83" w:rsidRDefault="00E83D45" w:rsidP="007E5A28"/>
    <w:p w14:paraId="69B6253B" w14:textId="77777777" w:rsidR="00F32DCA" w:rsidRPr="00672D83" w:rsidRDefault="00A12F38">
      <w:pPr>
        <w:pStyle w:val="Proposal"/>
      </w:pPr>
      <w:r w:rsidRPr="00672D83">
        <w:tab/>
        <w:t>D/AUS/AUT/BUL/CAN/DNK/FIN/F/HNG/LTU/NOR/HOL/SVK/CZE/ROU/G/S/46/1</w:t>
      </w:r>
    </w:p>
    <w:p w14:paraId="0BBF2E44" w14:textId="7CC9754A" w:rsidR="00E83D45" w:rsidRPr="00672D83" w:rsidRDefault="00672D83" w:rsidP="00672D83">
      <w:pPr>
        <w:pStyle w:val="Heading1"/>
        <w:jc w:val="center"/>
      </w:pPr>
      <w:r w:rsidRPr="00672D83">
        <w:t>ASUNTOS GENERALES</w:t>
      </w:r>
    </w:p>
    <w:p w14:paraId="65FE7624" w14:textId="0F3F2EFD" w:rsidR="00AE1F5B" w:rsidRPr="00672D83" w:rsidRDefault="00AE1F5B" w:rsidP="008B5C32">
      <w:r w:rsidRPr="00672D83">
        <w:t>Apoyamos firmemente los importantes esfuerzos que ha realizado la UIT para celebrar la AMNT</w:t>
      </w:r>
      <w:r w:rsidR="00C21AE1" w:rsidRPr="00672D83">
        <w:t>- </w:t>
      </w:r>
      <w:r w:rsidRPr="00672D83">
        <w:t xml:space="preserve">20 en 2022 a pesar de los retos significativos planteados por la COVID-19. La pandemia ha subrayado la importancia de nuestro trabajo, y el éxito de esta conferencia dependerá de la plena participación de los Estados Miembros y los Miembros de Sector. Sin embargo, esta participación sólo será posible si tomamos medidas cuidadosamente estudiadas para garantizar que nuestras formas de trabajo en la conferencia no creen barreras </w:t>
      </w:r>
      <w:r w:rsidR="00CB799C" w:rsidRPr="00672D83">
        <w:t>par</w:t>
      </w:r>
      <w:r w:rsidRPr="00672D83">
        <w:t xml:space="preserve">a la participación </w:t>
      </w:r>
      <w:r w:rsidR="00CB799C" w:rsidRPr="00672D83">
        <w:t>presencial</w:t>
      </w:r>
      <w:r w:rsidRPr="00672D83">
        <w:t xml:space="preserve"> y virtual. </w:t>
      </w:r>
    </w:p>
    <w:p w14:paraId="405E9469" w14:textId="39789FF9" w:rsidR="00F32DCA" w:rsidRPr="00672D83" w:rsidRDefault="00CB799C" w:rsidP="008B5C32">
      <w:r w:rsidRPr="00672D83">
        <w:t xml:space="preserve">Los que estén presentes físicamente actuarán en un entorno de mayor riesgo y tendrán que cumplir una serie de normas, como el uso de mascarillas y la imposibilidad de comer o beber durante las reuniones, lo que hará especialmente difíciles las reuniones largas. Asimismo, muchos delegados se verán obligados a </w:t>
      </w:r>
      <w:r w:rsidR="0033025E" w:rsidRPr="00672D83">
        <w:t>utilizar</w:t>
      </w:r>
      <w:r w:rsidRPr="00672D83">
        <w:t xml:space="preserve"> una herramienta de participación a distancia, ya sea desde su país de origen, debido a los riesgos de la asistencia o las restricciones de viaje, o desde Ginebra, si </w:t>
      </w:r>
      <w:r w:rsidR="00A00349" w:rsidRPr="00672D83">
        <w:t xml:space="preserve">no </w:t>
      </w:r>
      <w:r w:rsidR="00551BDE" w:rsidRPr="00672D83">
        <w:t>entran en una</w:t>
      </w:r>
      <w:r w:rsidRPr="00672D83">
        <w:t xml:space="preserve"> sala de conferencias debido a los requisitos de distanciamiento social o a la necesidad de </w:t>
      </w:r>
      <w:r w:rsidR="00A46855" w:rsidRPr="00672D83">
        <w:t>aislarse</w:t>
      </w:r>
      <w:r w:rsidRPr="00672D83">
        <w:t xml:space="preserve">. El horario de trabajo tendrá una repercusión importante para aquellos que se unan </w:t>
      </w:r>
      <w:r w:rsidR="00551BDE" w:rsidRPr="00672D83">
        <w:t xml:space="preserve">desde cualquier parte del mundo </w:t>
      </w:r>
      <w:r w:rsidRPr="00672D83">
        <w:t>y estén trabajando en horarios muy difíciles debido a las diferencias de los husos horarios con Ginebra.</w:t>
      </w:r>
    </w:p>
    <w:p w14:paraId="7BD8C76B" w14:textId="66E166CC" w:rsidR="00A00349" w:rsidRPr="00672D83" w:rsidRDefault="00A00349" w:rsidP="008B5C32">
      <w:r w:rsidRPr="00672D83">
        <w:t xml:space="preserve">Finalmente, los signatarios proponen que, en los casos en que no se puede alcanzar un consenso sobre las Resoluciones y las Recomendaciones, es preferible que los Estados Miembros acuerden no realizar </w:t>
      </w:r>
      <w:r w:rsidR="008B5C32" w:rsidRPr="00672D83">
        <w:t>"</w:t>
      </w:r>
      <w:r w:rsidRPr="00672D83">
        <w:t>ningún cambio</w:t>
      </w:r>
      <w:r w:rsidR="008B5C32" w:rsidRPr="00672D83">
        <w:t>"</w:t>
      </w:r>
      <w:r w:rsidRPr="00672D83">
        <w:t xml:space="preserve"> en lugar de recurrir a una votación, que no sería un reflejo </w:t>
      </w:r>
      <w:r w:rsidR="00551BDE" w:rsidRPr="00672D83">
        <w:t xml:space="preserve">fiel </w:t>
      </w:r>
      <w:r w:rsidRPr="00672D83">
        <w:t>de las opiniones de los Miembros, ya que algunos Estados Miembros no podrán votar presencialmente.</w:t>
      </w:r>
    </w:p>
    <w:p w14:paraId="4F835B54" w14:textId="7F51E14E" w:rsidR="00A00349" w:rsidRPr="00672D83" w:rsidRDefault="00A00349" w:rsidP="008B5C32">
      <w:r w:rsidRPr="00672D83">
        <w:t xml:space="preserve">En resumen, se propone: </w:t>
      </w:r>
    </w:p>
    <w:p w14:paraId="0586C510" w14:textId="28220E7E" w:rsidR="00A00349" w:rsidRPr="00672D83" w:rsidRDefault="00A00349" w:rsidP="008B5C32">
      <w:pPr>
        <w:pStyle w:val="enumlev1"/>
      </w:pPr>
      <w:r w:rsidRPr="00672D83">
        <w:t>•</w:t>
      </w:r>
      <w:r w:rsidRPr="00672D83">
        <w:tab/>
        <w:t>que no se permita ninguna reunión importante relacionada con los trabajos de la Asamblea, como las reuniones de las Comisiones, los Grupos de Redacción, así como las reuniones de grupos ad hoc e informales, fuera del horario de trabajo definido de 8.00 a 19.00 horas</w:t>
      </w:r>
      <w:r w:rsidR="00551BDE" w:rsidRPr="00672D83">
        <w:t>,</w:t>
      </w:r>
      <w:r w:rsidRPr="00672D83">
        <w:t xml:space="preserve"> de lunes a viernes. No se incluyen en esta propuesta las reuniones de las delegaciones o las reuniones del personal operativo de la UIT, etc.;</w:t>
      </w:r>
    </w:p>
    <w:p w14:paraId="1FDC2E6E" w14:textId="3D1C675C" w:rsidR="00A00349" w:rsidRPr="00672D83" w:rsidRDefault="00A00349" w:rsidP="008B5C32">
      <w:pPr>
        <w:pStyle w:val="enumlev1"/>
      </w:pPr>
      <w:r w:rsidRPr="00672D83">
        <w:t>•</w:t>
      </w:r>
      <w:r w:rsidRPr="00672D83">
        <w:tab/>
        <w:t xml:space="preserve">que </w:t>
      </w:r>
      <w:r w:rsidR="0033025E" w:rsidRPr="00672D83">
        <w:t xml:space="preserve">todas las reuniones indicadas anteriormente deben disponer de </w:t>
      </w:r>
      <w:r w:rsidRPr="00672D83">
        <w:t>herramienta</w:t>
      </w:r>
      <w:r w:rsidR="0033025E" w:rsidRPr="00672D83">
        <w:t>s</w:t>
      </w:r>
      <w:r w:rsidRPr="00672D83">
        <w:t xml:space="preserve"> </w:t>
      </w:r>
      <w:r w:rsidR="0033025E" w:rsidRPr="00672D83">
        <w:t>para soportar la</w:t>
      </w:r>
      <w:r w:rsidRPr="00672D83">
        <w:t xml:space="preserve"> participación a distancia; y</w:t>
      </w:r>
    </w:p>
    <w:p w14:paraId="033D6C32" w14:textId="288AF601" w:rsidR="00A00349" w:rsidRPr="00672D83" w:rsidRDefault="00A00349" w:rsidP="008B5C32">
      <w:pPr>
        <w:pStyle w:val="enumlev1"/>
      </w:pPr>
      <w:r w:rsidRPr="00672D83">
        <w:t>•</w:t>
      </w:r>
      <w:r w:rsidRPr="00672D83">
        <w:tab/>
        <w:t xml:space="preserve">en los casos en que no se puede alcanzar un consenso sobre las Resoluciones y las Recomendaciones, es preferible </w:t>
      </w:r>
      <w:r w:rsidR="00551BDE" w:rsidRPr="00672D83">
        <w:t>acordar</w:t>
      </w:r>
      <w:r w:rsidRPr="00672D83">
        <w:t xml:space="preserve"> no realizar </w:t>
      </w:r>
      <w:r w:rsidR="008B5C32" w:rsidRPr="00672D83">
        <w:t>"</w:t>
      </w:r>
      <w:r w:rsidRPr="00672D83">
        <w:t>ningún cambio</w:t>
      </w:r>
      <w:r w:rsidR="008B5C32" w:rsidRPr="00672D83">
        <w:t>"</w:t>
      </w:r>
      <w:r w:rsidRPr="00672D83">
        <w:t xml:space="preserve"> en vez de votar.</w:t>
      </w:r>
    </w:p>
    <w:p w14:paraId="32F99E5D" w14:textId="5E4CAC00" w:rsidR="008B5C32" w:rsidRPr="00672D83" w:rsidRDefault="008B5C32" w:rsidP="008B5C32">
      <w:pPr>
        <w:pStyle w:val="Reasons"/>
      </w:pPr>
      <w:bookmarkStart w:id="0" w:name="_GoBack"/>
      <w:bookmarkEnd w:id="0"/>
    </w:p>
    <w:p w14:paraId="08DD08A0" w14:textId="77777777" w:rsidR="008B5C32" w:rsidRPr="00672D83" w:rsidRDefault="008B5C32">
      <w:pPr>
        <w:jc w:val="center"/>
      </w:pPr>
      <w:r w:rsidRPr="00672D83">
        <w:t>______________</w:t>
      </w:r>
    </w:p>
    <w:sectPr w:rsidR="008B5C32" w:rsidRPr="00672D83">
      <w:headerReference w:type="default" r:id="rId12"/>
      <w:footerReference w:type="even" r:id="rId13"/>
      <w:footerReference w:type="first" r:id="rId14"/>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B1838" w14:textId="77777777" w:rsidR="00FC241D" w:rsidRDefault="00FC241D">
      <w:r>
        <w:separator/>
      </w:r>
    </w:p>
  </w:endnote>
  <w:endnote w:type="continuationSeparator" w:id="0">
    <w:p w14:paraId="178BAF0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3D0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45D81" w14:textId="113BFF2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72D83">
      <w:rPr>
        <w:noProof/>
      </w:rPr>
      <w:t>08.02.22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15DC" w14:textId="05B838DF" w:rsidR="00E83D45" w:rsidRPr="00AF4F7A" w:rsidRDefault="00487CAA" w:rsidP="00AF4F7A">
    <w:pPr>
      <w:pStyle w:val="Footer"/>
    </w:pPr>
    <w:r>
      <w:fldChar w:fldCharType="begin"/>
    </w:r>
    <w:r>
      <w:instrText xml:space="preserve"> FILENAME \p  \* MERGEFORMAT </w:instrText>
    </w:r>
    <w:r>
      <w:fldChar w:fldCharType="separate"/>
    </w:r>
    <w:r w:rsidR="00AF4F7A">
      <w:t>P:\ESP\ITU-T\CONF-T\WTSA20\000\046S.docx</w:t>
    </w:r>
    <w:r>
      <w:fldChar w:fldCharType="end"/>
    </w:r>
    <w:r w:rsidR="00AF4F7A">
      <w:t xml:space="preserve"> (501508)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7E8EA" w14:textId="77777777" w:rsidR="00FC241D" w:rsidRDefault="00FC241D">
      <w:r>
        <w:rPr>
          <w:b/>
        </w:rPr>
        <w:t>_______________</w:t>
      </w:r>
    </w:p>
  </w:footnote>
  <w:footnote w:type="continuationSeparator" w:id="0">
    <w:p w14:paraId="7D4414E2"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CB09" w14:textId="0583846E" w:rsidR="00E83D45" w:rsidRDefault="00E83D45" w:rsidP="00E83D45">
    <w:pPr>
      <w:pStyle w:val="Header"/>
    </w:pPr>
    <w:r>
      <w:fldChar w:fldCharType="begin"/>
    </w:r>
    <w:r>
      <w:instrText xml:space="preserve"> PAGE  \* MERGEFORMAT </w:instrText>
    </w:r>
    <w:r>
      <w:fldChar w:fldCharType="separate"/>
    </w:r>
    <w:r w:rsidR="00672D83">
      <w:rPr>
        <w:noProof/>
      </w:rPr>
      <w:t>2</w:t>
    </w:r>
    <w:r>
      <w:fldChar w:fldCharType="end"/>
    </w:r>
  </w:p>
  <w:p w14:paraId="1A1C0691" w14:textId="3539D0E6" w:rsidR="00E83D45" w:rsidRPr="00C72D5C" w:rsidRDefault="002E5627" w:rsidP="00E83D45">
    <w:pPr>
      <w:pStyle w:val="Header"/>
    </w:pPr>
    <w:r>
      <w:fldChar w:fldCharType="begin"/>
    </w:r>
    <w:r>
      <w:instrText xml:space="preserve"> styleref DocNumber </w:instrText>
    </w:r>
    <w:r>
      <w:fldChar w:fldCharType="separate"/>
    </w:r>
    <w:r w:rsidR="00672D83">
      <w:rPr>
        <w:noProof/>
      </w:rPr>
      <w:t>Documento 46-S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80732"/>
    <w:rsid w:val="00191A97"/>
    <w:rsid w:val="001A083F"/>
    <w:rsid w:val="001C1F58"/>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3025E"/>
    <w:rsid w:val="00363A65"/>
    <w:rsid w:val="00377EC9"/>
    <w:rsid w:val="003B1E8C"/>
    <w:rsid w:val="003C2508"/>
    <w:rsid w:val="003D0AA3"/>
    <w:rsid w:val="003E2853"/>
    <w:rsid w:val="004104AC"/>
    <w:rsid w:val="00426C60"/>
    <w:rsid w:val="00454553"/>
    <w:rsid w:val="00476FB2"/>
    <w:rsid w:val="00487CAA"/>
    <w:rsid w:val="004B124A"/>
    <w:rsid w:val="004B520A"/>
    <w:rsid w:val="004C3636"/>
    <w:rsid w:val="004C3A5A"/>
    <w:rsid w:val="00507C36"/>
    <w:rsid w:val="0051705A"/>
    <w:rsid w:val="00523269"/>
    <w:rsid w:val="00532097"/>
    <w:rsid w:val="00551BDE"/>
    <w:rsid w:val="00566BEE"/>
    <w:rsid w:val="0058350F"/>
    <w:rsid w:val="005A374D"/>
    <w:rsid w:val="005C475F"/>
    <w:rsid w:val="005E782D"/>
    <w:rsid w:val="005F2605"/>
    <w:rsid w:val="00646147"/>
    <w:rsid w:val="00662039"/>
    <w:rsid w:val="00662BA0"/>
    <w:rsid w:val="00672D83"/>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2F2C"/>
    <w:rsid w:val="007E5A28"/>
    <w:rsid w:val="007E667F"/>
    <w:rsid w:val="00866AE6"/>
    <w:rsid w:val="00866BBD"/>
    <w:rsid w:val="00873B75"/>
    <w:rsid w:val="008750A8"/>
    <w:rsid w:val="00894DCB"/>
    <w:rsid w:val="008B5C32"/>
    <w:rsid w:val="008C6521"/>
    <w:rsid w:val="008E35DA"/>
    <w:rsid w:val="008E4453"/>
    <w:rsid w:val="0090121B"/>
    <w:rsid w:val="009144C9"/>
    <w:rsid w:val="00916196"/>
    <w:rsid w:val="0094091F"/>
    <w:rsid w:val="0094505C"/>
    <w:rsid w:val="00973754"/>
    <w:rsid w:val="0097673E"/>
    <w:rsid w:val="00990278"/>
    <w:rsid w:val="009A137D"/>
    <w:rsid w:val="009B0563"/>
    <w:rsid w:val="009C0BED"/>
    <w:rsid w:val="009C2526"/>
    <w:rsid w:val="009E11EC"/>
    <w:rsid w:val="009F6A67"/>
    <w:rsid w:val="00A00349"/>
    <w:rsid w:val="00A118DB"/>
    <w:rsid w:val="00A12F38"/>
    <w:rsid w:val="00A24AC0"/>
    <w:rsid w:val="00A4450C"/>
    <w:rsid w:val="00A46855"/>
    <w:rsid w:val="00A55693"/>
    <w:rsid w:val="00A55F2D"/>
    <w:rsid w:val="00AA1D6C"/>
    <w:rsid w:val="00AA5E6C"/>
    <w:rsid w:val="00AB4E90"/>
    <w:rsid w:val="00AE1F5B"/>
    <w:rsid w:val="00AE5677"/>
    <w:rsid w:val="00AE658F"/>
    <w:rsid w:val="00AF2F78"/>
    <w:rsid w:val="00AF4F7A"/>
    <w:rsid w:val="00B07178"/>
    <w:rsid w:val="00B1727C"/>
    <w:rsid w:val="00B173B3"/>
    <w:rsid w:val="00B257B2"/>
    <w:rsid w:val="00B42F60"/>
    <w:rsid w:val="00B51263"/>
    <w:rsid w:val="00B52D55"/>
    <w:rsid w:val="00B61807"/>
    <w:rsid w:val="00B627DD"/>
    <w:rsid w:val="00B75455"/>
    <w:rsid w:val="00B8288C"/>
    <w:rsid w:val="00B9677E"/>
    <w:rsid w:val="00BD0918"/>
    <w:rsid w:val="00BD5FE4"/>
    <w:rsid w:val="00BE2E80"/>
    <w:rsid w:val="00BE5EDD"/>
    <w:rsid w:val="00BE6A1F"/>
    <w:rsid w:val="00C126C4"/>
    <w:rsid w:val="00C21AE1"/>
    <w:rsid w:val="00C25B5B"/>
    <w:rsid w:val="00C614DC"/>
    <w:rsid w:val="00C63EB5"/>
    <w:rsid w:val="00C72410"/>
    <w:rsid w:val="00C858D0"/>
    <w:rsid w:val="00CA1F40"/>
    <w:rsid w:val="00CB35C9"/>
    <w:rsid w:val="00CB799C"/>
    <w:rsid w:val="00CC01E0"/>
    <w:rsid w:val="00CD1851"/>
    <w:rsid w:val="00CD5FEE"/>
    <w:rsid w:val="00CD663E"/>
    <w:rsid w:val="00CE60D2"/>
    <w:rsid w:val="00D0288A"/>
    <w:rsid w:val="00D56781"/>
    <w:rsid w:val="00D72A5D"/>
    <w:rsid w:val="00DC4871"/>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32DCA"/>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5FAB9F"/>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er.chapman@ofcom.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2d3c7e-6756-4de4-9669-def121ff33b9" targetNamespace="http://schemas.microsoft.com/office/2006/metadata/properties" ma:root="true" ma:fieldsID="d41af5c836d734370eb92e7ee5f83852" ns2:_="" ns3:_="">
    <xsd:import namespace="996b2e75-67fd-4955-a3b0-5ab9934cb50b"/>
    <xsd:import namespace="db2d3c7e-6756-4de4-9669-def121ff33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2d3c7e-6756-4de4-9669-def121ff33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b2d3c7e-6756-4de4-9669-def121ff33b9">DPM</DPM_x0020_Author>
    <DPM_x0020_File_x0020_name xmlns="db2d3c7e-6756-4de4-9669-def121ff33b9">T17-WTSA.20-C-0046!!MSW-S</DPM_x0020_File_x0020_name>
    <DPM_x0020_Version xmlns="db2d3c7e-6756-4de4-9669-def121ff33b9">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2d3c7e-6756-4de4-9669-def121ff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db2d3c7e-6756-4de4-9669-def121ff33b9"/>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18B7DF7-706A-4FD1-86DE-4547BEDA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684</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T17-WTSA.20-C-0046!!MSW-S</vt:lpstr>
    </vt:vector>
  </TitlesOfParts>
  <Manager>Secretaría General - Pool</Manager>
  <Company>International Telecommunication Union (ITU)</Company>
  <LinksUpToDate>false</LinksUpToDate>
  <CharactersWithSpaces>4595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T17-WTSA.20-C-0046!!MSW-S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5</cp:revision>
  <cp:lastPrinted>2016-03-08T15:23:00Z</cp:lastPrinted>
  <dcterms:created xsi:type="dcterms:W3CDTF">2022-02-08T12:32:00Z</dcterms:created>
  <dcterms:modified xsi:type="dcterms:W3CDTF">2022-02-08T14:54:00Z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