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1F9F4B96" w14:textId="77777777" w:rsidTr="0018460D">
        <w:trPr>
          <w:cantSplit/>
        </w:trPr>
        <w:tc>
          <w:tcPr>
            <w:tcW w:w="6614" w:type="dxa"/>
            <w:vAlign w:val="center"/>
            <w:hideMark/>
          </w:tcPr>
          <w:p w14:paraId="2C5D7541"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18680426"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6973EEDC" w14:textId="77777777" w:rsidR="00C244A8" w:rsidRPr="00031E6B" w:rsidRDefault="00C244A8" w:rsidP="00C244A8">
            <w:pPr>
              <w:spacing w:after="160"/>
              <w:rPr>
                <w:sz w:val="22"/>
                <w:szCs w:val="22"/>
              </w:rPr>
            </w:pPr>
            <w:r>
              <w:rPr>
                <w:noProof/>
                <w:lang w:eastAsia="zh-CN"/>
              </w:rPr>
              <w:drawing>
                <wp:inline distT="0" distB="0" distL="0" distR="0" wp14:anchorId="0E0789B7" wp14:editId="523AD8E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646F4C0" w14:textId="77777777" w:rsidTr="00E2414B">
        <w:trPr>
          <w:cantSplit/>
        </w:trPr>
        <w:tc>
          <w:tcPr>
            <w:tcW w:w="6614" w:type="dxa"/>
            <w:tcBorders>
              <w:top w:val="nil"/>
              <w:left w:val="nil"/>
              <w:bottom w:val="single" w:sz="12" w:space="0" w:color="auto"/>
              <w:right w:val="nil"/>
            </w:tcBorders>
          </w:tcPr>
          <w:p w14:paraId="3D236EEB"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362F468" w14:textId="77777777" w:rsidR="009759FE" w:rsidRPr="000A3B30" w:rsidRDefault="009759FE" w:rsidP="00E2414B">
            <w:pPr>
              <w:spacing w:before="0"/>
              <w:rPr>
                <w:rFonts w:eastAsia="Times New Roman"/>
              </w:rPr>
            </w:pPr>
          </w:p>
        </w:tc>
      </w:tr>
      <w:tr w:rsidR="009759FE" w14:paraId="5E20C23D" w14:textId="77777777" w:rsidTr="00E2414B">
        <w:trPr>
          <w:cantSplit/>
        </w:trPr>
        <w:tc>
          <w:tcPr>
            <w:tcW w:w="6614" w:type="dxa"/>
            <w:tcBorders>
              <w:top w:val="single" w:sz="12" w:space="0" w:color="auto"/>
              <w:left w:val="nil"/>
              <w:bottom w:val="nil"/>
              <w:right w:val="nil"/>
            </w:tcBorders>
          </w:tcPr>
          <w:p w14:paraId="7B2841B6" w14:textId="77777777" w:rsidR="009759FE" w:rsidRPr="00400909" w:rsidRDefault="009759FE" w:rsidP="00E2414B">
            <w:pPr>
              <w:spacing w:before="0"/>
              <w:rPr>
                <w:rFonts w:eastAsia="Times New Roman"/>
              </w:rPr>
            </w:pPr>
          </w:p>
        </w:tc>
        <w:tc>
          <w:tcPr>
            <w:tcW w:w="3197" w:type="dxa"/>
          </w:tcPr>
          <w:p w14:paraId="526DECC2" w14:textId="77777777" w:rsidR="009759FE" w:rsidRPr="00031E6B" w:rsidRDefault="009759FE" w:rsidP="00E2414B">
            <w:pPr>
              <w:spacing w:before="0"/>
              <w:rPr>
                <w:rFonts w:ascii="Verdana" w:hAnsi="Verdana"/>
                <w:b/>
                <w:bCs/>
                <w:sz w:val="20"/>
                <w:szCs w:val="22"/>
              </w:rPr>
            </w:pPr>
          </w:p>
        </w:tc>
      </w:tr>
      <w:tr w:rsidR="000A3B30" w14:paraId="2C373357" w14:textId="77777777" w:rsidTr="00E2414B">
        <w:trPr>
          <w:cantSplit/>
        </w:trPr>
        <w:tc>
          <w:tcPr>
            <w:tcW w:w="6614" w:type="dxa"/>
          </w:tcPr>
          <w:p w14:paraId="29C8905A"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0E569FA5" w14:textId="77777777" w:rsidR="000A3B30" w:rsidRPr="00622560" w:rsidRDefault="000A3B30" w:rsidP="00BD7C7C">
            <w:pPr>
              <w:pStyle w:val="DocNumber"/>
            </w:pPr>
            <w:r>
              <w:t>文件</w:t>
            </w:r>
            <w:r>
              <w:t xml:space="preserve"> 43</w:t>
            </w:r>
            <w:r w:rsidRPr="00622560">
              <w:t>-</w:t>
            </w:r>
            <w:r w:rsidRPr="000273B7">
              <w:t>C</w:t>
            </w:r>
          </w:p>
        </w:tc>
      </w:tr>
      <w:tr w:rsidR="000A3B30" w14:paraId="3DE5FD99" w14:textId="77777777" w:rsidTr="00E2414B">
        <w:trPr>
          <w:cantSplit/>
        </w:trPr>
        <w:tc>
          <w:tcPr>
            <w:tcW w:w="6614" w:type="dxa"/>
          </w:tcPr>
          <w:p w14:paraId="5CB9657F" w14:textId="54FFB415" w:rsidR="000A3B30" w:rsidRPr="00C324A8" w:rsidRDefault="000A3B30" w:rsidP="00E2414B">
            <w:pPr>
              <w:spacing w:before="0"/>
              <w:rPr>
                <w:rFonts w:ascii="Verdana" w:hAnsi="Verdana"/>
                <w:b/>
                <w:smallCaps/>
                <w:sz w:val="20"/>
              </w:rPr>
            </w:pPr>
          </w:p>
        </w:tc>
        <w:tc>
          <w:tcPr>
            <w:tcW w:w="3197" w:type="dxa"/>
            <w:hideMark/>
          </w:tcPr>
          <w:p w14:paraId="4F77B19F" w14:textId="14FD7ECB"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004C4360">
              <w:rPr>
                <w:rFonts w:ascii="Verdana" w:hAnsi="Verdana"/>
                <w:b/>
                <w:bCs/>
                <w:sz w:val="20"/>
              </w:rPr>
              <w:t>2</w:t>
            </w:r>
            <w:r w:rsidRPr="000273B7">
              <w:rPr>
                <w:rFonts w:ascii="Verdana" w:hAnsi="Verdana"/>
                <w:b/>
                <w:bCs/>
                <w:sz w:val="20"/>
              </w:rPr>
              <w:t>月</w:t>
            </w:r>
            <w:r w:rsidR="004C4360">
              <w:rPr>
                <w:rFonts w:ascii="Verdana" w:hAnsi="Verdana"/>
                <w:b/>
                <w:bCs/>
                <w:sz w:val="20"/>
              </w:rPr>
              <w:t>28</w:t>
            </w:r>
            <w:r w:rsidRPr="000273B7">
              <w:rPr>
                <w:rFonts w:ascii="Verdana" w:hAnsi="Verdana"/>
                <w:b/>
                <w:bCs/>
                <w:sz w:val="20"/>
              </w:rPr>
              <w:t>日</w:t>
            </w:r>
          </w:p>
        </w:tc>
      </w:tr>
      <w:tr w:rsidR="000A3B30" w14:paraId="004DF8B9" w14:textId="77777777" w:rsidTr="00E2414B">
        <w:trPr>
          <w:cantSplit/>
        </w:trPr>
        <w:tc>
          <w:tcPr>
            <w:tcW w:w="6614" w:type="dxa"/>
          </w:tcPr>
          <w:p w14:paraId="3B3EB272" w14:textId="77777777" w:rsidR="000A3B30" w:rsidRPr="00031E6B" w:rsidRDefault="000A3B30" w:rsidP="00E2414B">
            <w:pPr>
              <w:spacing w:before="0"/>
              <w:rPr>
                <w:sz w:val="22"/>
                <w:szCs w:val="22"/>
              </w:rPr>
            </w:pPr>
          </w:p>
        </w:tc>
        <w:tc>
          <w:tcPr>
            <w:tcW w:w="3197" w:type="dxa"/>
            <w:hideMark/>
          </w:tcPr>
          <w:p w14:paraId="6F508D69"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4DF481D5" w14:textId="77777777" w:rsidTr="00E2414B">
        <w:trPr>
          <w:cantSplit/>
        </w:trPr>
        <w:tc>
          <w:tcPr>
            <w:tcW w:w="9811" w:type="dxa"/>
            <w:gridSpan w:val="2"/>
          </w:tcPr>
          <w:p w14:paraId="4A4B832F" w14:textId="77777777" w:rsidR="009D164C" w:rsidRPr="00031E6B" w:rsidRDefault="009D164C" w:rsidP="00E2414B">
            <w:pPr>
              <w:spacing w:before="0"/>
              <w:rPr>
                <w:rFonts w:ascii="Verdana" w:hAnsi="Verdana"/>
                <w:b/>
                <w:bCs/>
                <w:sz w:val="20"/>
                <w:szCs w:val="22"/>
              </w:rPr>
            </w:pPr>
          </w:p>
        </w:tc>
      </w:tr>
      <w:tr w:rsidR="000A3B30" w14:paraId="19BE2E23" w14:textId="77777777" w:rsidTr="00E2414B">
        <w:trPr>
          <w:cantSplit/>
        </w:trPr>
        <w:tc>
          <w:tcPr>
            <w:tcW w:w="9811" w:type="dxa"/>
            <w:gridSpan w:val="2"/>
            <w:hideMark/>
          </w:tcPr>
          <w:p w14:paraId="3825B5DA" w14:textId="03404ADC" w:rsidR="000A3B30" w:rsidRPr="00031E6B" w:rsidRDefault="000332E6" w:rsidP="00E2414B">
            <w:pPr>
              <w:pStyle w:val="Source"/>
              <w:rPr>
                <w:lang w:eastAsia="zh-CN"/>
              </w:rPr>
            </w:pPr>
            <w:r>
              <w:rPr>
                <w:rFonts w:hint="eastAsia"/>
                <w:lang w:eastAsia="zh-CN"/>
              </w:rPr>
              <w:t>电信标准化局主任</w:t>
            </w:r>
          </w:p>
        </w:tc>
      </w:tr>
      <w:tr w:rsidR="00764C59" w14:paraId="09E73BD3" w14:textId="77777777" w:rsidTr="00E2414B">
        <w:trPr>
          <w:cantSplit/>
        </w:trPr>
        <w:tc>
          <w:tcPr>
            <w:tcW w:w="9811" w:type="dxa"/>
            <w:gridSpan w:val="2"/>
            <w:hideMark/>
          </w:tcPr>
          <w:p w14:paraId="2FFCA233" w14:textId="04D68238" w:rsidR="00764C59" w:rsidRPr="00400909" w:rsidRDefault="00306C63" w:rsidP="00764C59">
            <w:pPr>
              <w:pStyle w:val="Title1"/>
              <w:rPr>
                <w:rFonts w:ascii="Verdana" w:hAnsi="Verdana"/>
                <w:lang w:eastAsia="zh-CN"/>
              </w:rPr>
            </w:pPr>
            <w:r>
              <w:rPr>
                <w:rFonts w:hint="eastAsia"/>
                <w:lang w:eastAsia="zh-CN"/>
              </w:rPr>
              <w:t>第四届全</w:t>
            </w:r>
            <w:r w:rsidR="00342973">
              <w:rPr>
                <w:rFonts w:hint="eastAsia"/>
                <w:lang w:eastAsia="zh-CN"/>
              </w:rPr>
              <w:t>球标准专题研讨会</w:t>
            </w:r>
            <w:r w:rsidR="000332E6">
              <w:rPr>
                <w:rFonts w:hint="eastAsia"/>
                <w:lang w:eastAsia="zh-CN"/>
              </w:rPr>
              <w:t>的</w:t>
            </w:r>
            <w:r w:rsidR="00342973">
              <w:rPr>
                <w:rFonts w:hint="eastAsia"/>
                <w:lang w:eastAsia="zh-CN"/>
              </w:rPr>
              <w:t>结论</w:t>
            </w:r>
          </w:p>
        </w:tc>
      </w:tr>
      <w:tr w:rsidR="00764C59" w14:paraId="0E0CBC57" w14:textId="77777777" w:rsidTr="00E2414B">
        <w:trPr>
          <w:cantSplit/>
        </w:trPr>
        <w:tc>
          <w:tcPr>
            <w:tcW w:w="9811" w:type="dxa"/>
            <w:gridSpan w:val="2"/>
            <w:hideMark/>
          </w:tcPr>
          <w:p w14:paraId="06EEB119" w14:textId="77777777" w:rsidR="00764C59" w:rsidRPr="00400909" w:rsidRDefault="00764C59" w:rsidP="00764C59">
            <w:pPr>
              <w:pStyle w:val="Title2"/>
              <w:rPr>
                <w:rFonts w:ascii="Verdana" w:hAnsi="Verdana"/>
                <w:lang w:eastAsia="zh-CN"/>
              </w:rPr>
            </w:pPr>
          </w:p>
        </w:tc>
      </w:tr>
      <w:tr w:rsidR="00764C59" w14:paraId="7820BDD9" w14:textId="77777777" w:rsidTr="00BD7C7C">
        <w:trPr>
          <w:cantSplit/>
          <w:trHeight w:hRule="exact" w:val="120"/>
        </w:trPr>
        <w:tc>
          <w:tcPr>
            <w:tcW w:w="9811" w:type="dxa"/>
            <w:gridSpan w:val="2"/>
          </w:tcPr>
          <w:p w14:paraId="19A2082F" w14:textId="77777777" w:rsidR="00764C59" w:rsidRPr="000273B7" w:rsidRDefault="00764C59" w:rsidP="00764C59">
            <w:pPr>
              <w:pStyle w:val="Agendaitem"/>
              <w:rPr>
                <w:lang w:eastAsia="zh-CN"/>
              </w:rPr>
            </w:pPr>
          </w:p>
        </w:tc>
      </w:tr>
    </w:tbl>
    <w:p w14:paraId="1B2038AD"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21CB1076" w14:textId="77777777" w:rsidTr="004913CE">
        <w:trPr>
          <w:cantSplit/>
        </w:trPr>
        <w:tc>
          <w:tcPr>
            <w:tcW w:w="1276" w:type="dxa"/>
          </w:tcPr>
          <w:p w14:paraId="3E2B0EA7"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14DDF34A" w14:textId="1CE74DF9" w:rsidR="003556C0" w:rsidRPr="00BD7C7C" w:rsidRDefault="000332E6" w:rsidP="00231452">
            <w:pPr>
              <w:rPr>
                <w:highlight w:val="yellow"/>
                <w:lang w:eastAsia="zh-CN"/>
              </w:rPr>
            </w:pPr>
            <w:r>
              <w:rPr>
                <w:rFonts w:hint="eastAsia"/>
                <w:szCs w:val="24"/>
                <w:lang w:eastAsia="zh-CN"/>
              </w:rPr>
              <w:t>本报告总结了</w:t>
            </w:r>
            <w:r w:rsidRPr="000332E6">
              <w:rPr>
                <w:rFonts w:hint="eastAsia"/>
                <w:szCs w:val="24"/>
                <w:lang w:eastAsia="zh-CN"/>
              </w:rPr>
              <w:t>第四届全球标准专题研讨会的结论</w:t>
            </w:r>
            <w:r>
              <w:rPr>
                <w:rFonts w:hint="eastAsia"/>
                <w:szCs w:val="24"/>
                <w:lang w:eastAsia="zh-CN"/>
              </w:rPr>
              <w:t>。</w:t>
            </w:r>
          </w:p>
        </w:tc>
      </w:tr>
      <w:tr w:rsidR="004913CE" w:rsidRPr="00426748" w14:paraId="150F6662" w14:textId="77777777" w:rsidTr="00DA3F75">
        <w:trPr>
          <w:cantSplit/>
        </w:trPr>
        <w:tc>
          <w:tcPr>
            <w:tcW w:w="1276" w:type="dxa"/>
          </w:tcPr>
          <w:p w14:paraId="064349A6"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5E6D236B" w14:textId="7B618D31" w:rsidR="004913CE" w:rsidRPr="00BD7C7C" w:rsidRDefault="000332E6" w:rsidP="004913CE">
            <w:pPr>
              <w:rPr>
                <w:highlight w:val="yellow"/>
              </w:rPr>
            </w:pPr>
            <w:r>
              <w:rPr>
                <w:rFonts w:hint="eastAsia"/>
                <w:lang w:eastAsia="zh-CN"/>
              </w:rPr>
              <w:t>电信标准化局</w:t>
            </w:r>
          </w:p>
        </w:tc>
        <w:tc>
          <w:tcPr>
            <w:tcW w:w="4268" w:type="dxa"/>
          </w:tcPr>
          <w:p w14:paraId="1BF4AFF7" w14:textId="4BBC1208" w:rsidR="004913CE" w:rsidRPr="00BD7C7C" w:rsidRDefault="004913CE" w:rsidP="004913CE">
            <w:pPr>
              <w:rPr>
                <w:highlight w:val="yellow"/>
                <w:lang w:eastAsia="zh-CN"/>
              </w:rPr>
            </w:pPr>
            <w:r w:rsidRPr="004913CE">
              <w:rPr>
                <w:rFonts w:hint="eastAsia"/>
                <w:lang w:eastAsia="zh-CN"/>
              </w:rPr>
              <w:t>电子邮件：</w:t>
            </w:r>
            <w:r w:rsidR="00834C5C">
              <w:fldChar w:fldCharType="begin"/>
            </w:r>
            <w:r w:rsidR="00834C5C" w:rsidRPr="00834C5C">
              <w:instrText xml:space="preserve"> HYPERLINK "mailto:bilel.jamoussi@itu.int" </w:instrText>
            </w:r>
            <w:r w:rsidR="00834C5C">
              <w:fldChar w:fldCharType="separate"/>
            </w:r>
            <w:r w:rsidR="00834C5C" w:rsidRPr="00834C5C">
              <w:rPr>
                <w:rStyle w:val="Hyperlink"/>
                <w:szCs w:val="24"/>
              </w:rPr>
              <w:t>bilel.jamoussi@itu.int</w:t>
            </w:r>
            <w:r w:rsidR="00834C5C">
              <w:rPr>
                <w:rStyle w:val="Hyperlink"/>
                <w:szCs w:val="24"/>
                <w:lang w:val="fr-CH"/>
              </w:rPr>
              <w:fldChar w:fldCharType="end"/>
            </w:r>
          </w:p>
        </w:tc>
      </w:tr>
    </w:tbl>
    <w:p w14:paraId="0AD7744E" w14:textId="77777777" w:rsidR="005C7B12" w:rsidRPr="00F7417E" w:rsidRDefault="005C7B12" w:rsidP="00F7417E">
      <w:pPr>
        <w:rPr>
          <w:lang w:eastAsia="zh-CN"/>
        </w:rPr>
      </w:pPr>
    </w:p>
    <w:p w14:paraId="58C92A28" w14:textId="34F08895" w:rsidR="0016377E" w:rsidRPr="0010293E" w:rsidRDefault="0016377E" w:rsidP="0016377E">
      <w:pPr>
        <w:shd w:val="clear" w:color="auto" w:fill="FFFFFF" w:themeFill="background1"/>
        <w:jc w:val="center"/>
        <w:outlineLvl w:val="0"/>
        <w:rPr>
          <w:rFonts w:cstheme="minorHAnsi"/>
          <w:b/>
          <w:bCs/>
          <w:kern w:val="36"/>
          <w:sz w:val="28"/>
          <w:szCs w:val="28"/>
          <w:lang w:eastAsia="zh-CN"/>
        </w:rPr>
      </w:pPr>
      <w:r w:rsidRPr="0010293E">
        <w:rPr>
          <w:rFonts w:cstheme="minorHAnsi"/>
          <w:b/>
          <w:bCs/>
          <w:kern w:val="36"/>
          <w:sz w:val="28"/>
          <w:szCs w:val="28"/>
          <w:lang w:eastAsia="zh-CN"/>
        </w:rPr>
        <w:t>第四届全球标准专题研讨会</w:t>
      </w:r>
      <w:r w:rsidR="000332E6">
        <w:rPr>
          <w:rFonts w:cstheme="minorHAnsi" w:hint="eastAsia"/>
          <w:b/>
          <w:bCs/>
          <w:kern w:val="36"/>
          <w:sz w:val="28"/>
          <w:szCs w:val="28"/>
          <w:lang w:eastAsia="zh-CN"/>
        </w:rPr>
        <w:t>的结论</w:t>
      </w:r>
    </w:p>
    <w:p w14:paraId="38632190" w14:textId="77777777" w:rsidR="0016377E" w:rsidRPr="0010293E" w:rsidRDefault="0016377E" w:rsidP="0016377E">
      <w:pPr>
        <w:pStyle w:val="Heading1"/>
        <w:rPr>
          <w:lang w:eastAsia="zh-CN"/>
        </w:rPr>
      </w:pPr>
      <w:r w:rsidRPr="0010293E">
        <w:rPr>
          <w:rFonts w:hint="eastAsia"/>
          <w:lang w:eastAsia="zh-CN"/>
        </w:rPr>
        <w:t>1</w:t>
      </w:r>
      <w:r w:rsidRPr="0010293E">
        <w:rPr>
          <w:lang w:eastAsia="zh-CN"/>
        </w:rPr>
        <w:tab/>
      </w:r>
      <w:r w:rsidRPr="0010293E">
        <w:rPr>
          <w:rFonts w:hint="eastAsia"/>
          <w:lang w:eastAsia="zh-CN"/>
        </w:rPr>
        <w:t>引言</w:t>
      </w:r>
    </w:p>
    <w:p w14:paraId="4E0B73C5" w14:textId="77777777" w:rsidR="0016377E" w:rsidRPr="00CC13B8" w:rsidRDefault="00444122" w:rsidP="0016377E">
      <w:pPr>
        <w:ind w:firstLineChars="200" w:firstLine="480"/>
        <w:rPr>
          <w:b/>
          <w:lang w:eastAsia="zh-CN"/>
        </w:rPr>
      </w:pPr>
      <w:hyperlink r:id="rId10" w:history="1">
        <w:r w:rsidR="0016377E" w:rsidRPr="00CC13B8">
          <w:rPr>
            <w:rStyle w:val="Hyperlink"/>
            <w:lang w:eastAsia="zh-CN"/>
          </w:rPr>
          <w:t>第四届全球标准专题研讨会（</w:t>
        </w:r>
        <w:r w:rsidR="0016377E" w:rsidRPr="00CC13B8">
          <w:rPr>
            <w:rStyle w:val="Hyperlink"/>
            <w:lang w:eastAsia="zh-CN"/>
          </w:rPr>
          <w:t>GSS</w:t>
        </w:r>
        <w:r w:rsidR="0016377E" w:rsidRPr="00CC13B8">
          <w:rPr>
            <w:rStyle w:val="Hyperlink"/>
            <w:lang w:eastAsia="zh-CN"/>
          </w:rPr>
          <w:t>）</w:t>
        </w:r>
      </w:hyperlink>
      <w:r w:rsidR="0016377E" w:rsidRPr="00CC13B8">
        <w:rPr>
          <w:lang w:eastAsia="zh-CN"/>
        </w:rPr>
        <w:t>于</w:t>
      </w:r>
      <w:r w:rsidR="0016377E" w:rsidRPr="00CC13B8">
        <w:rPr>
          <w:lang w:eastAsia="zh-CN"/>
        </w:rPr>
        <w:t>2022</w:t>
      </w:r>
      <w:r w:rsidR="0016377E" w:rsidRPr="00CC13B8">
        <w:rPr>
          <w:lang w:eastAsia="zh-CN"/>
        </w:rPr>
        <w:t>年</w:t>
      </w:r>
      <w:r w:rsidR="0016377E" w:rsidRPr="00CC13B8">
        <w:rPr>
          <w:lang w:eastAsia="zh-CN"/>
        </w:rPr>
        <w:t>2</w:t>
      </w:r>
      <w:r w:rsidR="0016377E" w:rsidRPr="00CC13B8">
        <w:rPr>
          <w:lang w:eastAsia="zh-CN"/>
        </w:rPr>
        <w:t>月</w:t>
      </w:r>
      <w:r w:rsidR="0016377E" w:rsidRPr="00CC13B8">
        <w:rPr>
          <w:lang w:eastAsia="zh-CN"/>
        </w:rPr>
        <w:t>28</w:t>
      </w:r>
      <w:r w:rsidR="0016377E" w:rsidRPr="00CC13B8">
        <w:rPr>
          <w:lang w:eastAsia="zh-CN"/>
        </w:rPr>
        <w:t>日在（瑞士）日内瓦举行，标准化领域的思想领袖齐聚一堂，讨论国际标准以推动数字化转型，实现可持续发展目标（</w:t>
      </w:r>
      <w:r w:rsidR="0016377E" w:rsidRPr="00CC13B8">
        <w:rPr>
          <w:lang w:eastAsia="zh-CN"/>
        </w:rPr>
        <w:t>SDG</w:t>
      </w:r>
      <w:r w:rsidR="0016377E" w:rsidRPr="00CC13B8">
        <w:rPr>
          <w:lang w:eastAsia="zh-CN"/>
        </w:rPr>
        <w:t>）。</w:t>
      </w:r>
    </w:p>
    <w:p w14:paraId="286519F8" w14:textId="220B5A40" w:rsidR="0016377E" w:rsidRPr="00CC13B8" w:rsidRDefault="0016377E" w:rsidP="0016377E">
      <w:pPr>
        <w:ind w:firstLineChars="200" w:firstLine="480"/>
        <w:rPr>
          <w:lang w:eastAsia="zh-CN"/>
        </w:rPr>
      </w:pPr>
      <w:r w:rsidRPr="00CC13B8">
        <w:rPr>
          <w:lang w:eastAsia="zh-CN"/>
        </w:rPr>
        <w:t>GSS-20</w:t>
      </w:r>
      <w:r w:rsidRPr="00CC13B8">
        <w:rPr>
          <w:lang w:eastAsia="zh-CN"/>
        </w:rPr>
        <w:t>为利益攸关方如何合作制定国际标准、导则和框架以推动数字化转型，促进实现</w:t>
      </w:r>
      <w:r w:rsidR="000332E6" w:rsidRPr="00CC13B8">
        <w:fldChar w:fldCharType="begin"/>
      </w:r>
      <w:r w:rsidR="000332E6" w:rsidRPr="00CC13B8">
        <w:rPr>
          <w:lang w:eastAsia="zh-CN"/>
        </w:rPr>
        <w:instrText xml:space="preserve"> HYPERLINK "https://www.un.org/sustainabledevelopment/development-agenda/" </w:instrText>
      </w:r>
      <w:r w:rsidR="000332E6" w:rsidRPr="00CC13B8">
        <w:fldChar w:fldCharType="separate"/>
      </w:r>
      <w:r w:rsidRPr="00CC13B8">
        <w:rPr>
          <w:rStyle w:val="Hyperlink"/>
          <w:lang w:eastAsia="zh-CN"/>
        </w:rPr>
        <w:t>2030</w:t>
      </w:r>
      <w:r w:rsidRPr="00CC13B8">
        <w:rPr>
          <w:rStyle w:val="Hyperlink"/>
          <w:lang w:eastAsia="zh-CN"/>
        </w:rPr>
        <w:t>年可持续发展议程</w:t>
      </w:r>
      <w:r w:rsidR="000332E6" w:rsidRPr="00CC13B8">
        <w:rPr>
          <w:rStyle w:val="Hyperlink"/>
          <w:lang w:eastAsia="zh-CN"/>
        </w:rPr>
        <w:fldChar w:fldCharType="end"/>
      </w:r>
      <w:r w:rsidRPr="00CC13B8">
        <w:rPr>
          <w:lang w:eastAsia="zh-CN"/>
        </w:rPr>
        <w:t>、</w:t>
      </w:r>
      <w:hyperlink r:id="rId11" w:history="1">
        <w:r w:rsidRPr="00CC13B8">
          <w:rPr>
            <w:rStyle w:val="Hyperlink"/>
            <w:lang w:eastAsia="zh-CN"/>
          </w:rPr>
          <w:t>《格拉斯哥气候公约》</w:t>
        </w:r>
      </w:hyperlink>
      <w:r w:rsidRPr="00CC13B8">
        <w:rPr>
          <w:lang w:eastAsia="zh-CN"/>
        </w:rPr>
        <w:t>、</w:t>
      </w:r>
      <w:hyperlink r:id="rId12" w:history="1">
        <w:r w:rsidRPr="00CC13B8">
          <w:rPr>
            <w:rStyle w:val="Hyperlink"/>
            <w:lang w:eastAsia="zh-CN"/>
          </w:rPr>
          <w:t>《巴黎协定》</w:t>
        </w:r>
      </w:hyperlink>
      <w:r w:rsidRPr="00CC13B8">
        <w:rPr>
          <w:lang w:eastAsia="zh-CN"/>
        </w:rPr>
        <w:t>和</w:t>
      </w:r>
      <w:hyperlink r:id="rId13" w:history="1">
        <w:r w:rsidRPr="00CC13B8">
          <w:rPr>
            <w:rStyle w:val="Hyperlink"/>
            <w:lang w:eastAsia="zh-CN"/>
          </w:rPr>
          <w:t>信息社会世界峰会（</w:t>
        </w:r>
        <w:r w:rsidRPr="00CC13B8">
          <w:rPr>
            <w:rStyle w:val="Hyperlink"/>
            <w:lang w:eastAsia="zh-CN"/>
          </w:rPr>
          <w:t>WSIS</w:t>
        </w:r>
        <w:r w:rsidRPr="00CC13B8">
          <w:rPr>
            <w:rStyle w:val="Hyperlink"/>
            <w:lang w:eastAsia="zh-CN"/>
          </w:rPr>
          <w:t>）行动方面</w:t>
        </w:r>
      </w:hyperlink>
      <w:r w:rsidRPr="00CC13B8">
        <w:rPr>
          <w:lang w:eastAsia="zh-CN"/>
        </w:rPr>
        <w:t>中阐明的可持续发展目标（</w:t>
      </w:r>
      <w:r w:rsidRPr="00CC13B8">
        <w:rPr>
          <w:lang w:eastAsia="zh-CN"/>
        </w:rPr>
        <w:t>SDG</w:t>
      </w:r>
      <w:r w:rsidRPr="00CC13B8">
        <w:rPr>
          <w:lang w:eastAsia="zh-CN"/>
        </w:rPr>
        <w:t>）奠定了基础。</w:t>
      </w:r>
    </w:p>
    <w:p w14:paraId="6889D2AE" w14:textId="554298FC" w:rsidR="0016377E" w:rsidRPr="00CC13B8" w:rsidRDefault="0016377E" w:rsidP="0016377E">
      <w:pPr>
        <w:ind w:firstLineChars="200" w:firstLine="480"/>
        <w:rPr>
          <w:lang w:eastAsia="zh-CN"/>
        </w:rPr>
      </w:pPr>
      <w:r w:rsidRPr="00CC13B8">
        <w:rPr>
          <w:lang w:eastAsia="zh-CN"/>
        </w:rPr>
        <w:t>第</w:t>
      </w:r>
      <w:r w:rsidRPr="00CC13B8">
        <w:rPr>
          <w:lang w:eastAsia="zh-CN"/>
        </w:rPr>
        <w:t>2</w:t>
      </w:r>
      <w:r w:rsidRPr="00CC13B8">
        <w:rPr>
          <w:lang w:eastAsia="zh-CN"/>
        </w:rPr>
        <w:t>节总结了作为</w:t>
      </w:r>
      <w:r w:rsidRPr="00CC13B8">
        <w:rPr>
          <w:lang w:eastAsia="zh-CN"/>
        </w:rPr>
        <w:t>GSS-20</w:t>
      </w:r>
      <w:r w:rsidRPr="00CC13B8">
        <w:rPr>
          <w:lang w:eastAsia="zh-CN"/>
        </w:rPr>
        <w:t>组成部分的各次会议的主要结果和建议。最终活动安排、演讲人简介和演讲内容可查阅：</w:t>
      </w:r>
      <w:hyperlink r:id="rId14" w:history="1">
        <w:r w:rsidRPr="00CC13B8">
          <w:rPr>
            <w:rStyle w:val="Hyperlink"/>
            <w:lang w:eastAsia="zh-CN"/>
          </w:rPr>
          <w:t>https://gss.itu.int/programme/</w:t>
        </w:r>
      </w:hyperlink>
      <w:r w:rsidRPr="00CC13B8">
        <w:rPr>
          <w:lang w:eastAsia="zh-CN"/>
        </w:rPr>
        <w:t>。</w:t>
      </w:r>
    </w:p>
    <w:p w14:paraId="0A6439FA" w14:textId="77777777" w:rsidR="0016377E" w:rsidRPr="00CC13B8" w:rsidRDefault="0016377E" w:rsidP="00273228">
      <w:pPr>
        <w:spacing w:after="360"/>
        <w:ind w:firstLineChars="200" w:firstLine="480"/>
        <w:rPr>
          <w:rFonts w:eastAsia="Times New Roman"/>
          <w:lang w:eastAsia="zh-CN"/>
        </w:rPr>
      </w:pPr>
      <w:r w:rsidRPr="00CC13B8">
        <w:rPr>
          <w:lang w:eastAsia="zh-CN"/>
        </w:rPr>
        <w:t>根据全权代表大会第</w:t>
      </w:r>
      <w:r w:rsidRPr="00CC13B8">
        <w:rPr>
          <w:lang w:eastAsia="zh-CN"/>
        </w:rPr>
        <w:t>122</w:t>
      </w:r>
      <w:r w:rsidRPr="00CC13B8">
        <w:rPr>
          <w:lang w:eastAsia="zh-CN"/>
        </w:rPr>
        <w:t>号决议（</w:t>
      </w:r>
      <w:r w:rsidRPr="00CC13B8">
        <w:rPr>
          <w:lang w:eastAsia="zh-CN"/>
        </w:rPr>
        <w:t>2010</w:t>
      </w:r>
      <w:r w:rsidRPr="00CC13B8">
        <w:rPr>
          <w:lang w:eastAsia="zh-CN"/>
        </w:rPr>
        <w:t>年，瓜达拉哈拉，修订版）和国际电联理事会第</w:t>
      </w:r>
      <w:r w:rsidRPr="00CC13B8">
        <w:rPr>
          <w:lang w:eastAsia="zh-CN"/>
        </w:rPr>
        <w:t>1272</w:t>
      </w:r>
      <w:r w:rsidRPr="00CC13B8">
        <w:rPr>
          <w:lang w:eastAsia="zh-CN"/>
        </w:rPr>
        <w:t>号决议（修订版），本报告详述的</w:t>
      </w:r>
      <w:r w:rsidRPr="00CC13B8">
        <w:rPr>
          <w:lang w:eastAsia="zh-CN"/>
        </w:rPr>
        <w:t>GSS-20</w:t>
      </w:r>
      <w:r w:rsidRPr="00CC13B8">
        <w:rPr>
          <w:lang w:eastAsia="zh-CN"/>
        </w:rPr>
        <w:t>的有关结论将转呈</w:t>
      </w:r>
      <w:r w:rsidRPr="00CC13B8">
        <w:rPr>
          <w:lang w:eastAsia="zh-CN"/>
        </w:rPr>
        <w:t>WTSA</w:t>
      </w:r>
      <w:r w:rsidRPr="00CC13B8">
        <w:rPr>
          <w:lang w:eastAsia="zh-CN"/>
        </w:rPr>
        <w:noBreakHyphen/>
        <w:t>20</w:t>
      </w:r>
      <w:r w:rsidRPr="00CC13B8">
        <w:rPr>
          <w:lang w:eastAsia="zh-CN"/>
        </w:rPr>
        <w:t>审议。</w:t>
      </w:r>
    </w:p>
    <w:p w14:paraId="4210DA5A" w14:textId="77777777" w:rsidR="0016377E" w:rsidRPr="0010293E" w:rsidRDefault="0016377E" w:rsidP="0016377E">
      <w:pPr>
        <w:pStyle w:val="Heading1"/>
        <w:rPr>
          <w:bdr w:val="none" w:sz="0" w:space="0" w:color="auto" w:frame="1"/>
          <w:lang w:eastAsia="zh-CN"/>
        </w:rPr>
      </w:pPr>
      <w:r w:rsidRPr="0010293E">
        <w:rPr>
          <w:bdr w:val="none" w:sz="0" w:space="0" w:color="auto" w:frame="1"/>
          <w:lang w:eastAsia="zh-CN"/>
        </w:rPr>
        <w:lastRenderedPageBreak/>
        <w:t>2</w:t>
      </w:r>
      <w:r w:rsidRPr="0010293E">
        <w:rPr>
          <w:bdr w:val="none" w:sz="0" w:space="0" w:color="auto" w:frame="1"/>
          <w:lang w:eastAsia="zh-CN"/>
        </w:rPr>
        <w:tab/>
        <w:t>GSS-20</w:t>
      </w:r>
      <w:r w:rsidRPr="0010293E">
        <w:rPr>
          <w:rFonts w:ascii="SimSun" w:hAnsi="SimSun" w:cs="SimSun" w:hint="eastAsia"/>
          <w:bdr w:val="none" w:sz="0" w:space="0" w:color="auto" w:frame="1"/>
          <w:lang w:eastAsia="zh-CN"/>
        </w:rPr>
        <w:t>的主要结论</w:t>
      </w:r>
    </w:p>
    <w:p w14:paraId="1B9580D2" w14:textId="77777777" w:rsidR="0016377E" w:rsidRPr="0010293E" w:rsidRDefault="0016377E" w:rsidP="0016377E">
      <w:pPr>
        <w:pStyle w:val="Heading2"/>
        <w:rPr>
          <w:lang w:eastAsia="zh-CN"/>
        </w:rPr>
      </w:pPr>
      <w:r w:rsidRPr="0010293E">
        <w:rPr>
          <w:lang w:eastAsia="zh-CN"/>
        </w:rPr>
        <w:t>2.1</w:t>
      </w:r>
      <w:r w:rsidRPr="0010293E">
        <w:rPr>
          <w:lang w:eastAsia="zh-CN"/>
        </w:rPr>
        <w:tab/>
      </w:r>
      <w:r w:rsidRPr="0010293E">
        <w:rPr>
          <w:rFonts w:hint="eastAsia"/>
          <w:lang w:eastAsia="zh-CN"/>
        </w:rPr>
        <w:t>可持续数字变革促进可持续发展目标的世界标准合作更新</w:t>
      </w:r>
    </w:p>
    <w:p w14:paraId="517BAEC3" w14:textId="77777777" w:rsidR="0016377E" w:rsidRPr="0010293E" w:rsidRDefault="0016377E" w:rsidP="0016377E">
      <w:pPr>
        <w:keepNext/>
        <w:keepLines/>
        <w:shd w:val="clear" w:color="auto" w:fill="FFFFFF"/>
        <w:rPr>
          <w:rFonts w:eastAsia="STKaiti" w:cstheme="minorHAnsi"/>
          <w:iCs/>
          <w:lang w:eastAsia="zh-CN"/>
        </w:rPr>
      </w:pPr>
      <w:r w:rsidRPr="0010293E">
        <w:rPr>
          <w:rFonts w:eastAsia="STKaiti" w:cstheme="minorHAnsi"/>
          <w:iCs/>
          <w:lang w:eastAsia="zh-CN"/>
        </w:rPr>
        <w:t>GSS-20</w:t>
      </w:r>
    </w:p>
    <w:p w14:paraId="10EC4AB5" w14:textId="77777777" w:rsidR="0016377E" w:rsidRPr="0010293E" w:rsidRDefault="0016377E" w:rsidP="0016377E">
      <w:pPr>
        <w:rPr>
          <w:rFonts w:eastAsia="STKaiti" w:cstheme="minorHAnsi"/>
          <w:iCs/>
          <w:lang w:eastAsia="zh-CN"/>
        </w:rPr>
      </w:pPr>
      <w:r w:rsidRPr="0010293E">
        <w:rPr>
          <w:rFonts w:eastAsia="STKaiti" w:cstheme="minorHAnsi"/>
          <w:iCs/>
          <w:lang w:eastAsia="zh-CN"/>
        </w:rPr>
        <w:t>认识到国际</w:t>
      </w:r>
      <w:r>
        <w:rPr>
          <w:rFonts w:eastAsia="STKaiti" w:cstheme="minorHAnsi" w:hint="eastAsia"/>
          <w:iCs/>
          <w:lang w:eastAsia="zh-CN"/>
        </w:rPr>
        <w:t>电信联盟（</w:t>
      </w:r>
      <w:r>
        <w:rPr>
          <w:rFonts w:eastAsia="STKaiti" w:cstheme="minorHAnsi"/>
          <w:iCs/>
          <w:lang w:eastAsia="zh-CN"/>
        </w:rPr>
        <w:t>ITU</w:t>
      </w:r>
      <w:r>
        <w:rPr>
          <w:rFonts w:eastAsia="STKaiti" w:cstheme="minorHAnsi" w:hint="eastAsia"/>
          <w:iCs/>
          <w:lang w:eastAsia="zh-CN"/>
        </w:rPr>
        <w:t>）</w:t>
      </w:r>
      <w:r w:rsidRPr="0010293E">
        <w:rPr>
          <w:rFonts w:eastAsia="STKaiti" w:cstheme="minorHAnsi"/>
          <w:iCs/>
          <w:lang w:eastAsia="zh-CN"/>
        </w:rPr>
        <w:t>、国际标准化组织（</w:t>
      </w:r>
      <w:r w:rsidRPr="0010293E">
        <w:rPr>
          <w:rFonts w:eastAsia="STKaiti" w:cstheme="minorHAnsi"/>
          <w:iCs/>
          <w:lang w:eastAsia="zh-CN"/>
        </w:rPr>
        <w:t>ISO</w:t>
      </w:r>
      <w:r w:rsidRPr="0010293E">
        <w:rPr>
          <w:rFonts w:eastAsia="STKaiti" w:cstheme="minorHAnsi"/>
          <w:iCs/>
          <w:lang w:eastAsia="zh-CN"/>
        </w:rPr>
        <w:t>）和国际电工委员会（</w:t>
      </w:r>
      <w:r w:rsidRPr="0010293E">
        <w:rPr>
          <w:rFonts w:eastAsia="STKaiti" w:cstheme="minorHAnsi"/>
          <w:iCs/>
          <w:lang w:eastAsia="zh-CN"/>
        </w:rPr>
        <w:t>IEC</w:t>
      </w:r>
      <w:r w:rsidRPr="0010293E">
        <w:rPr>
          <w:rFonts w:eastAsia="STKaiti" w:cstheme="minorHAnsi"/>
          <w:iCs/>
          <w:lang w:eastAsia="zh-CN"/>
        </w:rPr>
        <w:t>）在促进和协调可持续数字化转型的全球标准化工作方面发挥着主导作用，</w:t>
      </w:r>
    </w:p>
    <w:p w14:paraId="53FAA964" w14:textId="0E57F6B6" w:rsidR="0016377E" w:rsidRPr="0010293E" w:rsidRDefault="00B4110B" w:rsidP="0016377E">
      <w:pPr>
        <w:pStyle w:val="enumlev1"/>
        <w:rPr>
          <w:lang w:eastAsia="zh-CN"/>
        </w:rPr>
      </w:pPr>
      <w:r w:rsidRPr="00FB160B">
        <w:rPr>
          <w:sz w:val="28"/>
          <w:szCs w:val="28"/>
          <w:lang w:eastAsia="zh-CN"/>
        </w:rPr>
        <w:t>▪</w:t>
      </w:r>
      <w:r w:rsidR="0016377E" w:rsidRPr="0010293E">
        <w:rPr>
          <w:lang w:eastAsia="zh-CN"/>
        </w:rPr>
        <w:tab/>
      </w:r>
      <w:r w:rsidR="0016377E" w:rsidRPr="0010293E">
        <w:rPr>
          <w:rFonts w:hint="eastAsia"/>
          <w:lang w:eastAsia="zh-CN"/>
        </w:rPr>
        <w:t>呼吁国际标准制定组织</w:t>
      </w:r>
      <w:r w:rsidR="0016377E">
        <w:rPr>
          <w:rFonts w:hint="eastAsia"/>
          <w:lang w:eastAsia="zh-CN"/>
        </w:rPr>
        <w:t>（</w:t>
      </w:r>
      <w:r w:rsidR="0016377E">
        <w:rPr>
          <w:lang w:eastAsia="zh-CN"/>
        </w:rPr>
        <w:t>SDO</w:t>
      </w:r>
      <w:r w:rsidR="0016377E">
        <w:rPr>
          <w:lang w:eastAsia="zh-CN"/>
        </w:rPr>
        <w:t>）</w:t>
      </w:r>
      <w:r w:rsidR="0016377E" w:rsidRPr="0010293E">
        <w:rPr>
          <w:rFonts w:hint="eastAsia"/>
          <w:lang w:eastAsia="zh-CN"/>
        </w:rPr>
        <w:t>（包括国际电联、</w:t>
      </w:r>
      <w:r w:rsidR="0016377E" w:rsidRPr="0010293E">
        <w:rPr>
          <w:rFonts w:hint="eastAsia"/>
          <w:lang w:eastAsia="zh-CN"/>
        </w:rPr>
        <w:t>IEC</w:t>
      </w:r>
      <w:r w:rsidR="0016377E" w:rsidRPr="0010293E">
        <w:rPr>
          <w:rFonts w:hint="eastAsia"/>
          <w:lang w:eastAsia="zh-CN"/>
        </w:rPr>
        <w:t>和</w:t>
      </w:r>
      <w:r w:rsidR="0016377E" w:rsidRPr="0010293E">
        <w:rPr>
          <w:rFonts w:hint="eastAsia"/>
          <w:lang w:eastAsia="zh-CN"/>
        </w:rPr>
        <w:t>ISO</w:t>
      </w:r>
      <w:r w:rsidR="0016377E" w:rsidRPr="0010293E">
        <w:rPr>
          <w:rFonts w:hint="eastAsia"/>
          <w:lang w:eastAsia="zh-CN"/>
        </w:rPr>
        <w:t>）以及其他标准制定实体（如</w:t>
      </w:r>
      <w:r w:rsidR="0016377E" w:rsidRPr="0010293E">
        <w:rPr>
          <w:rFonts w:hint="eastAsia"/>
          <w:lang w:eastAsia="zh-CN"/>
        </w:rPr>
        <w:t>ETSI</w:t>
      </w:r>
      <w:r w:rsidR="0016377E" w:rsidRPr="0010293E">
        <w:rPr>
          <w:rFonts w:hint="eastAsia"/>
          <w:lang w:eastAsia="zh-CN"/>
        </w:rPr>
        <w:t>、</w:t>
      </w:r>
      <w:r w:rsidR="0016377E" w:rsidRPr="0010293E">
        <w:rPr>
          <w:rFonts w:hint="eastAsia"/>
          <w:lang w:eastAsia="zh-CN"/>
        </w:rPr>
        <w:t>IEEE</w:t>
      </w:r>
      <w:r w:rsidR="0016377E" w:rsidRPr="0010293E">
        <w:rPr>
          <w:rFonts w:hint="eastAsia"/>
          <w:lang w:eastAsia="zh-CN"/>
        </w:rPr>
        <w:t>、</w:t>
      </w:r>
      <w:r w:rsidR="0016377E" w:rsidRPr="0010293E">
        <w:rPr>
          <w:rFonts w:hint="eastAsia"/>
          <w:lang w:eastAsia="zh-CN"/>
        </w:rPr>
        <w:t>IETF</w:t>
      </w:r>
      <w:r w:rsidR="0016377E" w:rsidRPr="0010293E">
        <w:rPr>
          <w:rFonts w:hint="eastAsia"/>
          <w:lang w:eastAsia="zh-CN"/>
        </w:rPr>
        <w:t>、</w:t>
      </w:r>
      <w:r w:rsidR="0016377E" w:rsidRPr="0010293E">
        <w:rPr>
          <w:rFonts w:hint="eastAsia"/>
          <w:lang w:eastAsia="zh-CN"/>
        </w:rPr>
        <w:t>W3C</w:t>
      </w:r>
      <w:r w:rsidR="0016377E" w:rsidRPr="0010293E">
        <w:rPr>
          <w:rFonts w:hint="eastAsia"/>
          <w:lang w:eastAsia="zh-CN"/>
        </w:rPr>
        <w:t>、</w:t>
      </w:r>
      <w:r w:rsidR="0016377E" w:rsidRPr="0010293E">
        <w:rPr>
          <w:rFonts w:hint="eastAsia"/>
          <w:lang w:eastAsia="zh-CN"/>
        </w:rPr>
        <w:t>3GPP</w:t>
      </w:r>
      <w:r w:rsidR="0016377E" w:rsidRPr="0010293E">
        <w:rPr>
          <w:rFonts w:hint="eastAsia"/>
          <w:lang w:eastAsia="zh-CN"/>
        </w:rPr>
        <w:t>等）继续开展合作，以促进数字化转型。</w:t>
      </w:r>
    </w:p>
    <w:p w14:paraId="52413E8A" w14:textId="47C81734" w:rsidR="0016377E" w:rsidRPr="0010293E" w:rsidRDefault="00B4110B" w:rsidP="0016377E">
      <w:pPr>
        <w:pStyle w:val="enumlev1"/>
        <w:rPr>
          <w:lang w:eastAsia="zh-CN"/>
        </w:rPr>
      </w:pPr>
      <w:r w:rsidRPr="00FB160B">
        <w:rPr>
          <w:sz w:val="28"/>
          <w:szCs w:val="28"/>
          <w:lang w:eastAsia="zh-CN"/>
        </w:rPr>
        <w:t>▪</w:t>
      </w:r>
      <w:r w:rsidR="0016377E" w:rsidRPr="0010293E">
        <w:rPr>
          <w:lang w:eastAsia="zh-CN"/>
        </w:rPr>
        <w:tab/>
      </w:r>
      <w:r w:rsidR="0016377E" w:rsidRPr="0010293E">
        <w:rPr>
          <w:rFonts w:hint="eastAsia"/>
          <w:lang w:eastAsia="zh-CN"/>
        </w:rPr>
        <w:t>努力缩小发达国家和发展中国家之间的标准化差距，扩大技术推广以实现</w:t>
      </w:r>
      <w:r w:rsidR="0016377E" w:rsidRPr="0010293E">
        <w:rPr>
          <w:rFonts w:hint="eastAsia"/>
          <w:lang w:eastAsia="zh-CN"/>
        </w:rPr>
        <w:t>2030</w:t>
      </w:r>
      <w:r w:rsidR="0016377E" w:rsidRPr="0010293E">
        <w:rPr>
          <w:rFonts w:hint="eastAsia"/>
          <w:lang w:eastAsia="zh-CN"/>
        </w:rPr>
        <w:t>年可持续发展议程。</w:t>
      </w:r>
    </w:p>
    <w:p w14:paraId="2C090C7A" w14:textId="1C5C4157" w:rsidR="0016377E" w:rsidRPr="0010293E" w:rsidRDefault="00B4110B" w:rsidP="0016377E">
      <w:pPr>
        <w:pStyle w:val="enumlev1"/>
        <w:rPr>
          <w:lang w:eastAsia="zh-CN"/>
        </w:rPr>
      </w:pPr>
      <w:r w:rsidRPr="00FB160B">
        <w:rPr>
          <w:sz w:val="28"/>
          <w:szCs w:val="28"/>
          <w:lang w:eastAsia="zh-CN"/>
        </w:rPr>
        <w:t>▪</w:t>
      </w:r>
      <w:r w:rsidR="0016377E" w:rsidRPr="0010293E">
        <w:rPr>
          <w:lang w:eastAsia="zh-CN"/>
        </w:rPr>
        <w:tab/>
      </w:r>
      <w:r w:rsidR="0016377E" w:rsidRPr="0010293E">
        <w:rPr>
          <w:rFonts w:hint="eastAsia"/>
          <w:lang w:eastAsia="zh-CN"/>
        </w:rPr>
        <w:t>敦促采用国际标准作为数字化转型的关键推动力，认识到国际标准可以通过提高生产力、安全性和效率来促进城市、社区、行业和部门的持续数字化。</w:t>
      </w:r>
    </w:p>
    <w:p w14:paraId="72305DB6" w14:textId="77777777" w:rsidR="0016377E" w:rsidRPr="0010293E" w:rsidRDefault="0016377E" w:rsidP="0016377E">
      <w:pPr>
        <w:pStyle w:val="Heading2"/>
        <w:ind w:left="784" w:hanging="784"/>
        <w:rPr>
          <w:lang w:eastAsia="zh-CN"/>
        </w:rPr>
      </w:pPr>
      <w:r w:rsidRPr="0010293E">
        <w:rPr>
          <w:lang w:eastAsia="zh-CN"/>
        </w:rPr>
        <w:t>2.2</w:t>
      </w:r>
      <w:r w:rsidRPr="0010293E">
        <w:rPr>
          <w:lang w:eastAsia="zh-CN"/>
        </w:rPr>
        <w:tab/>
      </w:r>
      <w:r w:rsidRPr="0010293E">
        <w:rPr>
          <w:rFonts w:hint="eastAsia"/>
          <w:lang w:eastAsia="zh-CN"/>
        </w:rPr>
        <w:t>利用国际标准释放数字化转型的全部潜能，推动实现可持续发展目标的高级别对话</w:t>
      </w:r>
    </w:p>
    <w:p w14:paraId="44881491" w14:textId="77777777" w:rsidR="0016377E" w:rsidRPr="00F7151F" w:rsidRDefault="0016377E" w:rsidP="0016377E">
      <w:pPr>
        <w:keepNext/>
        <w:keepLines/>
        <w:shd w:val="clear" w:color="auto" w:fill="FFFFFF" w:themeFill="background1"/>
        <w:rPr>
          <w:rFonts w:eastAsia="STKaiti" w:cstheme="minorHAnsi"/>
          <w:iCs/>
          <w:lang w:eastAsia="zh-CN"/>
        </w:rPr>
      </w:pPr>
      <w:r w:rsidRPr="00F7151F">
        <w:rPr>
          <w:rFonts w:eastAsia="STKaiti" w:cstheme="minorHAnsi"/>
          <w:iCs/>
          <w:lang w:eastAsia="zh-CN"/>
        </w:rPr>
        <w:t>GSS-20</w:t>
      </w:r>
    </w:p>
    <w:p w14:paraId="3389C57C" w14:textId="77777777" w:rsidR="0016377E" w:rsidRPr="0010293E" w:rsidRDefault="0016377E" w:rsidP="0016377E">
      <w:pPr>
        <w:pStyle w:val="enumlev1"/>
        <w:tabs>
          <w:tab w:val="clear" w:pos="794"/>
        </w:tabs>
        <w:ind w:left="0" w:firstLine="0"/>
        <w:rPr>
          <w:rFonts w:ascii="STKaiti" w:eastAsia="STKaiti" w:hAnsi="STKaiti"/>
          <w:iCs/>
          <w:lang w:eastAsia="zh-CN"/>
        </w:rPr>
      </w:pPr>
      <w:r w:rsidRPr="0010293E">
        <w:rPr>
          <w:rFonts w:ascii="STKaiti" w:eastAsia="STKaiti" w:hAnsi="STKaiti" w:hint="eastAsia"/>
          <w:iCs/>
          <w:lang w:eastAsia="zh-CN"/>
        </w:rPr>
        <w:t>顾及国际标准在释放数字化转型的全部潜能、实现可持续发展目标和实施《格拉斯哥气候公约》和《巴黎协定》方面发挥着至关重要的作用，</w:t>
      </w:r>
    </w:p>
    <w:p w14:paraId="4769F279" w14:textId="28110EFD" w:rsidR="0016377E" w:rsidRPr="0010293E" w:rsidRDefault="00B4110B" w:rsidP="0016377E">
      <w:pPr>
        <w:pStyle w:val="enumlev1"/>
        <w:rPr>
          <w:rFonts w:eastAsiaTheme="minorEastAsia"/>
          <w:lang w:eastAsia="zh-CN"/>
        </w:rPr>
      </w:pPr>
      <w:r w:rsidRPr="00FB160B">
        <w:rPr>
          <w:sz w:val="28"/>
          <w:szCs w:val="28"/>
          <w:lang w:eastAsia="zh-CN"/>
        </w:rPr>
        <w:t>▪</w:t>
      </w:r>
      <w:r w:rsidR="0016377E" w:rsidRPr="0010293E">
        <w:rPr>
          <w:lang w:eastAsia="zh-CN"/>
        </w:rPr>
        <w:tab/>
      </w:r>
      <w:r w:rsidR="0016377E" w:rsidRPr="0010293E">
        <w:rPr>
          <w:rFonts w:hint="eastAsia"/>
          <w:lang w:eastAsia="zh-CN"/>
        </w:rPr>
        <w:t>提供一个讨论具体技术和数字化指导、数字化转型以应对现有全球挑战（包括不平等和数字鸿沟）的平台。新兴经济体尤其面临掉队的风险。</w:t>
      </w:r>
    </w:p>
    <w:p w14:paraId="4687F049" w14:textId="7BE6ACA5" w:rsidR="0016377E" w:rsidRPr="0010293E" w:rsidRDefault="00B4110B" w:rsidP="0016377E">
      <w:pPr>
        <w:pStyle w:val="enumlev1"/>
        <w:rPr>
          <w:lang w:eastAsia="zh-CN"/>
        </w:rPr>
      </w:pPr>
      <w:r w:rsidRPr="00FB160B">
        <w:rPr>
          <w:sz w:val="28"/>
          <w:szCs w:val="28"/>
          <w:lang w:eastAsia="zh-CN"/>
        </w:rPr>
        <w:t>▪</w:t>
      </w:r>
      <w:r w:rsidR="0016377E" w:rsidRPr="0010293E">
        <w:rPr>
          <w:lang w:eastAsia="zh-CN"/>
        </w:rPr>
        <w:tab/>
      </w:r>
      <w:r w:rsidR="0016377E" w:rsidRPr="0010293E">
        <w:rPr>
          <w:rFonts w:hint="eastAsia"/>
          <w:lang w:eastAsia="zh-CN"/>
        </w:rPr>
        <w:t>利用国际电联和其他标准制定组织（例如</w:t>
      </w:r>
      <w:r w:rsidR="0016377E" w:rsidRPr="0010293E">
        <w:rPr>
          <w:rFonts w:hint="eastAsia"/>
          <w:lang w:eastAsia="zh-CN"/>
        </w:rPr>
        <w:t>ISO</w:t>
      </w:r>
      <w:r w:rsidR="0016377E" w:rsidRPr="0010293E">
        <w:rPr>
          <w:rFonts w:hint="eastAsia"/>
          <w:lang w:eastAsia="zh-CN"/>
        </w:rPr>
        <w:t>、</w:t>
      </w:r>
      <w:r w:rsidR="0016377E" w:rsidRPr="0010293E">
        <w:rPr>
          <w:rFonts w:hint="eastAsia"/>
          <w:lang w:eastAsia="zh-CN"/>
        </w:rPr>
        <w:t>IEC</w:t>
      </w:r>
      <w:r w:rsidR="0016377E">
        <w:rPr>
          <w:rFonts w:hint="eastAsia"/>
          <w:lang w:eastAsia="zh-CN"/>
        </w:rPr>
        <w:t>和其他标准确定实体</w:t>
      </w:r>
      <w:r w:rsidR="0016377E" w:rsidRPr="0010293E">
        <w:rPr>
          <w:rFonts w:hint="eastAsia"/>
          <w:lang w:eastAsia="zh-CN"/>
        </w:rPr>
        <w:t>）制定的标准，协助制定植根于可持续发展目标所包含的普世价值的数字化转型共同愿景。可以通过按部门或地区向各种利益攸关方开放标准化领域来促进这种情况，以确保在寻求数字化转型的过程中倾听不同的观点和要求。</w:t>
      </w:r>
    </w:p>
    <w:p w14:paraId="681A02AC" w14:textId="2D616242" w:rsidR="0016377E" w:rsidRPr="0010293E" w:rsidRDefault="00B4110B" w:rsidP="0016377E">
      <w:pPr>
        <w:pStyle w:val="enumlev1"/>
        <w:rPr>
          <w:rFonts w:ascii="Calibri" w:hAnsi="Calibri" w:cs="Calibri"/>
          <w:lang w:eastAsia="zh-CN"/>
        </w:rPr>
      </w:pPr>
      <w:r w:rsidRPr="00FB160B">
        <w:rPr>
          <w:sz w:val="28"/>
          <w:szCs w:val="28"/>
          <w:lang w:eastAsia="zh-CN"/>
        </w:rPr>
        <w:t>▪</w:t>
      </w:r>
      <w:r w:rsidR="0016377E" w:rsidRPr="0010293E">
        <w:rPr>
          <w:lang w:eastAsia="zh-CN"/>
        </w:rPr>
        <w:tab/>
      </w:r>
      <w:r w:rsidR="0016377E" w:rsidRPr="0010293E">
        <w:rPr>
          <w:rFonts w:hint="eastAsia"/>
          <w:lang w:eastAsia="zh-CN"/>
        </w:rPr>
        <w:t>呼吁国际电联与</w:t>
      </w:r>
      <w:r w:rsidR="0016377E" w:rsidRPr="0010293E">
        <w:rPr>
          <w:rFonts w:hint="eastAsia"/>
          <w:lang w:eastAsia="zh-CN"/>
        </w:rPr>
        <w:t>ISO</w:t>
      </w:r>
      <w:r w:rsidR="0016377E" w:rsidRPr="0010293E">
        <w:rPr>
          <w:rFonts w:hint="eastAsia"/>
          <w:lang w:eastAsia="zh-CN"/>
        </w:rPr>
        <w:t>和</w:t>
      </w:r>
      <w:r w:rsidR="0016377E" w:rsidRPr="0010293E">
        <w:rPr>
          <w:rFonts w:hint="eastAsia"/>
          <w:lang w:eastAsia="zh-CN"/>
        </w:rPr>
        <w:t>IEC</w:t>
      </w:r>
      <w:r w:rsidR="0016377E" w:rsidRPr="0010293E">
        <w:rPr>
          <w:rFonts w:hint="eastAsia"/>
          <w:lang w:eastAsia="zh-CN"/>
        </w:rPr>
        <w:t>一起发挥关键作用，并积极为能源转型工程师委员会（</w:t>
      </w:r>
      <w:r w:rsidR="0016377E" w:rsidRPr="0010293E">
        <w:rPr>
          <w:rFonts w:hint="eastAsia"/>
          <w:lang w:eastAsia="zh-CN"/>
        </w:rPr>
        <w:t>CEET</w:t>
      </w:r>
      <w:r w:rsidR="0016377E" w:rsidRPr="0010293E">
        <w:rPr>
          <w:rFonts w:hint="eastAsia"/>
          <w:lang w:eastAsia="zh-CN"/>
        </w:rPr>
        <w:t>）</w:t>
      </w:r>
      <w:r w:rsidR="0016377E">
        <w:rPr>
          <w:rFonts w:hint="eastAsia"/>
          <w:lang w:eastAsia="zh-CN"/>
        </w:rPr>
        <w:t>（举例而言）</w:t>
      </w:r>
      <w:r w:rsidR="0016377E" w:rsidRPr="0010293E">
        <w:rPr>
          <w:rFonts w:hint="eastAsia"/>
          <w:lang w:eastAsia="zh-CN"/>
        </w:rPr>
        <w:t>做出贡献，以在</w:t>
      </w:r>
      <w:r w:rsidR="0016377E" w:rsidRPr="0010293E">
        <w:rPr>
          <w:rFonts w:hint="eastAsia"/>
          <w:lang w:eastAsia="zh-CN"/>
        </w:rPr>
        <w:t>2050</w:t>
      </w:r>
      <w:r w:rsidR="0016377E" w:rsidRPr="0010293E">
        <w:rPr>
          <w:rFonts w:hint="eastAsia"/>
          <w:lang w:eastAsia="zh-CN"/>
        </w:rPr>
        <w:t>年前实现净零排放，并为</w:t>
      </w:r>
      <w:r w:rsidR="0016377E">
        <w:rPr>
          <w:rFonts w:hint="eastAsia"/>
          <w:lang w:eastAsia="zh-CN"/>
        </w:rPr>
        <w:t>电信</w:t>
      </w:r>
      <w:r w:rsidR="0016377E">
        <w:rPr>
          <w:rFonts w:hint="eastAsia"/>
          <w:lang w:eastAsia="zh-CN"/>
        </w:rPr>
        <w:t>/</w:t>
      </w:r>
      <w:r w:rsidR="0016377E" w:rsidRPr="0010293E">
        <w:rPr>
          <w:rFonts w:hint="eastAsia"/>
          <w:lang w:eastAsia="zh-CN"/>
        </w:rPr>
        <w:t>ICT</w:t>
      </w:r>
      <w:r w:rsidR="0016377E" w:rsidRPr="0010293E">
        <w:rPr>
          <w:rFonts w:hint="eastAsia"/>
          <w:lang w:eastAsia="zh-CN"/>
        </w:rPr>
        <w:t>行业提供脱碳途径以响应联合国秘书长安东尼奥</w:t>
      </w:r>
      <w:r w:rsidR="000B3D34">
        <w:rPr>
          <w:lang w:eastAsia="zh-CN"/>
        </w:rPr>
        <w:t>•</w:t>
      </w:r>
      <w:r w:rsidR="0016377E" w:rsidRPr="0010293E">
        <w:rPr>
          <w:rFonts w:hint="eastAsia"/>
          <w:lang w:eastAsia="zh-CN"/>
        </w:rPr>
        <w:t>古特雷斯成立一个专家组，以提出明确的标准来衡量和分析非国家行为者的净零承诺的决定。</w:t>
      </w:r>
    </w:p>
    <w:p w14:paraId="48E57EBD" w14:textId="77777777" w:rsidR="0016377E" w:rsidRPr="0010293E" w:rsidRDefault="0016377E" w:rsidP="0016377E">
      <w:pPr>
        <w:pStyle w:val="Heading2"/>
        <w:ind w:left="784" w:hanging="784"/>
        <w:rPr>
          <w:lang w:eastAsia="zh-CN"/>
        </w:rPr>
      </w:pPr>
      <w:r w:rsidRPr="0010293E">
        <w:rPr>
          <w:lang w:eastAsia="zh-CN"/>
        </w:rPr>
        <w:t>2.3</w:t>
      </w:r>
      <w:r w:rsidRPr="0010293E">
        <w:rPr>
          <w:lang w:eastAsia="zh-CN"/>
        </w:rPr>
        <w:tab/>
      </w:r>
      <w:r w:rsidRPr="0010293E">
        <w:rPr>
          <w:rFonts w:hint="eastAsia"/>
          <w:lang w:eastAsia="zh-CN"/>
        </w:rPr>
        <w:t>迈向以人为本的城市和社区：推动跨行业数字化创新与转型</w:t>
      </w:r>
    </w:p>
    <w:p w14:paraId="273BF4F9" w14:textId="77777777" w:rsidR="0016377E" w:rsidRPr="00F7151F" w:rsidRDefault="0016377E" w:rsidP="0016377E">
      <w:pPr>
        <w:shd w:val="clear" w:color="auto" w:fill="FFFFFF"/>
        <w:rPr>
          <w:rFonts w:eastAsia="STKaiti" w:cstheme="minorHAnsi"/>
          <w:iCs/>
          <w:lang w:eastAsia="zh-CN"/>
        </w:rPr>
      </w:pPr>
      <w:r w:rsidRPr="00F7151F">
        <w:rPr>
          <w:rFonts w:eastAsia="STKaiti" w:cstheme="minorHAnsi"/>
          <w:iCs/>
          <w:lang w:eastAsia="zh-CN"/>
        </w:rPr>
        <w:t>GSS-20</w:t>
      </w:r>
    </w:p>
    <w:p w14:paraId="4231C5E7" w14:textId="77777777" w:rsidR="0016377E" w:rsidRPr="0010293E" w:rsidRDefault="0016377E" w:rsidP="0016377E">
      <w:pPr>
        <w:shd w:val="clear" w:color="auto" w:fill="FFFFFF" w:themeFill="background1"/>
        <w:rPr>
          <w:rFonts w:ascii="STKaiti" w:eastAsia="STKaiti" w:hAnsi="STKaiti" w:cs="Calibri"/>
          <w:iCs/>
          <w:lang w:eastAsia="zh-CN"/>
        </w:rPr>
      </w:pPr>
      <w:r w:rsidRPr="0010293E">
        <w:rPr>
          <w:rFonts w:ascii="STKaiti" w:eastAsia="STKaiti" w:hAnsi="STKaiti" w:cs="Calibri" w:hint="eastAsia"/>
          <w:iCs/>
          <w:lang w:eastAsia="zh-CN"/>
        </w:rPr>
        <w:t>顾及城市和社区在加速数字创新和向以人为本的数字经济、治理</w:t>
      </w:r>
      <w:r>
        <w:rPr>
          <w:rFonts w:ascii="STKaiti" w:eastAsia="STKaiti" w:hAnsi="STKaiti" w:cs="Calibri" w:hint="eastAsia"/>
          <w:iCs/>
          <w:lang w:eastAsia="zh-CN"/>
        </w:rPr>
        <w:t>和信息社会以及</w:t>
      </w:r>
      <w:r w:rsidRPr="0010293E">
        <w:rPr>
          <w:rFonts w:ascii="STKaiti" w:eastAsia="STKaiti" w:hAnsi="STKaiti" w:cs="Calibri" w:hint="eastAsia"/>
          <w:iCs/>
          <w:lang w:eastAsia="zh-CN"/>
        </w:rPr>
        <w:t>包括能源、水、卫生、农业和交通等行业领域转型方面发挥着重要作用，</w:t>
      </w:r>
    </w:p>
    <w:p w14:paraId="0A8219C5" w14:textId="330BA490" w:rsidR="0016377E" w:rsidRPr="00CC13B8" w:rsidRDefault="00B4110B" w:rsidP="0016377E">
      <w:pPr>
        <w:pStyle w:val="enumlev1"/>
        <w:rPr>
          <w:b/>
          <w:bCs/>
          <w:lang w:eastAsia="zh-CN"/>
        </w:rPr>
      </w:pPr>
      <w:r w:rsidRPr="00FB160B">
        <w:rPr>
          <w:sz w:val="28"/>
          <w:szCs w:val="28"/>
          <w:lang w:eastAsia="zh-CN"/>
        </w:rPr>
        <w:t>▪</w:t>
      </w:r>
      <w:r w:rsidR="0016377E" w:rsidRPr="00CC13B8">
        <w:rPr>
          <w:lang w:eastAsia="zh-CN"/>
        </w:rPr>
        <w:tab/>
      </w:r>
      <w:r w:rsidR="0016377E" w:rsidRPr="00CC13B8">
        <w:rPr>
          <w:lang w:eastAsia="zh-CN"/>
        </w:rPr>
        <w:t>请国际电联与联合国欧洲经济委员会和联合国人居署合作，继续支持</w:t>
      </w:r>
      <w:hyperlink r:id="rId15" w:history="1">
        <w:r w:rsidR="00CC13B8" w:rsidRPr="00CC13B8">
          <w:rPr>
            <w:rStyle w:val="Hyperlink"/>
            <w:rFonts w:ascii="SimSun" w:hAnsi="SimSun"/>
            <w:lang w:eastAsia="zh-CN"/>
          </w:rPr>
          <w:t>“</w:t>
        </w:r>
        <w:r w:rsidR="0016377E" w:rsidRPr="00CC13B8">
          <w:rPr>
            <w:rStyle w:val="Hyperlink"/>
            <w:lang w:eastAsia="zh-CN"/>
          </w:rPr>
          <w:t>共建可持续发展城市</w:t>
        </w:r>
        <w:r w:rsidR="00CC13B8" w:rsidRPr="00CC13B8">
          <w:rPr>
            <w:rStyle w:val="Hyperlink"/>
            <w:rFonts w:ascii="SimSun" w:hAnsi="SimSun"/>
            <w:lang w:eastAsia="zh-CN"/>
          </w:rPr>
          <w:t>”</w:t>
        </w:r>
        <w:r w:rsidR="0016377E" w:rsidRPr="00CC13B8">
          <w:rPr>
            <w:rStyle w:val="Hyperlink"/>
            <w:lang w:eastAsia="zh-CN"/>
          </w:rPr>
          <w:t>（</w:t>
        </w:r>
        <w:r w:rsidR="0016377E" w:rsidRPr="00CC13B8">
          <w:rPr>
            <w:rStyle w:val="Hyperlink"/>
            <w:lang w:eastAsia="zh-CN"/>
          </w:rPr>
          <w:t>U4SSC</w:t>
        </w:r>
        <w:r w:rsidR="0016377E" w:rsidRPr="00CC13B8">
          <w:rPr>
            <w:rStyle w:val="Hyperlink"/>
            <w:lang w:eastAsia="zh-CN"/>
          </w:rPr>
          <w:t>）</w:t>
        </w:r>
      </w:hyperlink>
      <w:r w:rsidR="0016377E" w:rsidRPr="00CC13B8">
        <w:rPr>
          <w:lang w:eastAsia="zh-CN"/>
        </w:rPr>
        <w:t>的活动，包括实施</w:t>
      </w:r>
      <w:r w:rsidR="0016377E" w:rsidRPr="00CC13B8">
        <w:rPr>
          <w:lang w:val="fr-FR"/>
        </w:rPr>
        <w:fldChar w:fldCharType="begin"/>
      </w:r>
      <w:r w:rsidR="0016377E" w:rsidRPr="00CC13B8">
        <w:rPr>
          <w:lang w:eastAsia="zh-CN"/>
        </w:rPr>
        <w:instrText xml:space="preserve"> HYPERLINK "https://www.itu.int/en/publications/Documents/tsb/2017-U4SSC-Collection-Methodology/files/downloads/421318-CollectionMethodologyforKPIfoSSC-2017.pdf" </w:instrText>
      </w:r>
      <w:r w:rsidR="0016377E" w:rsidRPr="00CC13B8">
        <w:rPr>
          <w:lang w:val="fr-FR"/>
        </w:rPr>
        <w:fldChar w:fldCharType="separate"/>
      </w:r>
      <w:r w:rsidR="0016377E" w:rsidRPr="00CC13B8">
        <w:rPr>
          <w:rStyle w:val="Hyperlink"/>
          <w:lang w:eastAsia="zh-CN"/>
        </w:rPr>
        <w:t>U4SSC</w:t>
      </w:r>
      <w:r w:rsidR="0016377E" w:rsidRPr="00CC13B8">
        <w:rPr>
          <w:rStyle w:val="Hyperlink"/>
          <w:lang w:eastAsia="zh-CN"/>
        </w:rPr>
        <w:t>关键绩效指标</w:t>
      </w:r>
      <w:r w:rsidR="0016377E" w:rsidRPr="00CC13B8">
        <w:rPr>
          <w:rStyle w:val="Hyperlink"/>
          <w:lang w:eastAsia="zh-CN"/>
        </w:rPr>
        <w:fldChar w:fldCharType="end"/>
      </w:r>
      <w:r w:rsidR="0016377E" w:rsidRPr="00CC13B8">
        <w:rPr>
          <w:lang w:eastAsia="zh-CN"/>
        </w:rPr>
        <w:t>（基于</w:t>
      </w:r>
      <w:hyperlink r:id="rId16" w:history="1">
        <w:r w:rsidR="0016377E" w:rsidRPr="00CC13B8">
          <w:rPr>
            <w:rStyle w:val="Hyperlink"/>
            <w:lang w:eastAsia="zh-CN"/>
          </w:rPr>
          <w:t>ITU-T Y.4903</w:t>
        </w:r>
        <w:r w:rsidR="0016377E" w:rsidRPr="00CC13B8">
          <w:rPr>
            <w:rStyle w:val="Hyperlink"/>
            <w:lang w:eastAsia="zh-CN"/>
          </w:rPr>
          <w:t>建议书</w:t>
        </w:r>
      </w:hyperlink>
      <w:r w:rsidR="0016377E" w:rsidRPr="00CC13B8">
        <w:rPr>
          <w:lang w:eastAsia="zh-CN"/>
        </w:rPr>
        <w:t>）和</w:t>
      </w:r>
      <w:hyperlink r:id="rId17" w:history="1">
        <w:r w:rsidR="0016377E" w:rsidRPr="00CC13B8">
          <w:rPr>
            <w:rStyle w:val="Hyperlink"/>
            <w:lang w:eastAsia="zh-CN"/>
          </w:rPr>
          <w:t>ITU-T Y.4904</w:t>
        </w:r>
        <w:r w:rsidR="0016377E" w:rsidRPr="00CC13B8">
          <w:rPr>
            <w:rStyle w:val="Hyperlink"/>
            <w:lang w:eastAsia="zh-CN"/>
          </w:rPr>
          <w:t>建议书</w:t>
        </w:r>
        <w:r w:rsidR="00CC13B8" w:rsidRPr="00CC13B8">
          <w:rPr>
            <w:rStyle w:val="Hyperlink"/>
            <w:rFonts w:ascii="SimSun" w:hAnsi="SimSun"/>
            <w:lang w:eastAsia="zh-CN"/>
          </w:rPr>
          <w:t>“</w:t>
        </w:r>
        <w:r w:rsidR="0016377E" w:rsidRPr="00CC13B8">
          <w:rPr>
            <w:rStyle w:val="Hyperlink"/>
            <w:lang w:eastAsia="zh-CN"/>
          </w:rPr>
          <w:t>可持续智慧城市成熟度模型</w:t>
        </w:r>
        <w:r w:rsidR="00CC13B8" w:rsidRPr="00CC13B8">
          <w:rPr>
            <w:rStyle w:val="Hyperlink"/>
            <w:rFonts w:ascii="SimSun" w:hAnsi="SimSun"/>
            <w:lang w:eastAsia="zh-CN"/>
          </w:rPr>
          <w:t>”</w:t>
        </w:r>
      </w:hyperlink>
      <w:r w:rsidR="0016377E" w:rsidRPr="00CC13B8">
        <w:rPr>
          <w:lang w:eastAsia="zh-CN"/>
        </w:rPr>
        <w:t>，其中包含短期和中期实施的必要工具，以便城市能够衡量其智慧城市战略并评估实现可持续发展目标的进展情况。</w:t>
      </w:r>
      <w:r w:rsidR="0016377E" w:rsidRPr="00CC13B8">
        <w:rPr>
          <w:rStyle w:val="FootnoteReference"/>
          <w:lang w:eastAsia="en-GB"/>
        </w:rPr>
        <w:footnoteReference w:id="1"/>
      </w:r>
      <w:r w:rsidR="0016377E" w:rsidRPr="00CC13B8">
        <w:rPr>
          <w:lang w:eastAsia="zh-CN"/>
        </w:rPr>
        <w:t>它还鼓励国际电联继续支持建立</w:t>
      </w:r>
      <w:r w:rsidR="0016377E" w:rsidRPr="00CC13B8">
        <w:rPr>
          <w:lang w:eastAsia="zh-CN"/>
        </w:rPr>
        <w:t>U4SSC</w:t>
      </w:r>
      <w:r w:rsidR="0016377E" w:rsidRPr="00CC13B8">
        <w:rPr>
          <w:lang w:eastAsia="zh-CN"/>
        </w:rPr>
        <w:t>国家中心，以利用建立全球、国家和地方合作与协作的需求，以建设以人为本的智慧城市和社区。</w:t>
      </w:r>
    </w:p>
    <w:p w14:paraId="3C234ECB" w14:textId="6D43AA3F" w:rsidR="0016377E" w:rsidRPr="0010293E" w:rsidRDefault="00B4110B" w:rsidP="0016377E">
      <w:pPr>
        <w:pStyle w:val="enumlev1"/>
        <w:rPr>
          <w:rFonts w:ascii="Calibri" w:hAnsi="Calibri" w:cs="Calibri"/>
          <w:b/>
          <w:bCs/>
          <w:strike/>
          <w:lang w:eastAsia="zh-CN"/>
        </w:rPr>
      </w:pPr>
      <w:r w:rsidRPr="00FB160B">
        <w:rPr>
          <w:sz w:val="28"/>
          <w:szCs w:val="28"/>
          <w:lang w:eastAsia="zh-CN"/>
        </w:rPr>
        <w:lastRenderedPageBreak/>
        <w:t>▪</w:t>
      </w:r>
      <w:r w:rsidR="0016377E" w:rsidRPr="0010293E">
        <w:rPr>
          <w:lang w:eastAsia="zh-CN"/>
        </w:rPr>
        <w:tab/>
      </w:r>
      <w:r w:rsidR="0016377E" w:rsidRPr="0010293E">
        <w:rPr>
          <w:rFonts w:ascii="Calibri" w:hAnsi="Calibri" w:cs="Calibri" w:hint="eastAsia"/>
          <w:lang w:eastAsia="zh-CN"/>
        </w:rPr>
        <w:t>强调通过开放平台开展合作的重要性，</w:t>
      </w:r>
      <w:r w:rsidR="0016377E">
        <w:rPr>
          <w:rFonts w:asciiTheme="minorHAnsi" w:hAnsiTheme="minorHAnsi"/>
          <w:lang w:val="fr-FR"/>
        </w:rPr>
        <w:fldChar w:fldCharType="begin"/>
      </w:r>
      <w:r w:rsidR="0016377E">
        <w:rPr>
          <w:lang w:eastAsia="zh-CN"/>
        </w:rPr>
        <w:instrText xml:space="preserve"> HYPERLINK "https://www.itu.int/en/ITU-T/focusgroups/ai4a/Pages/default.aspx" </w:instrText>
      </w:r>
      <w:r w:rsidR="0016377E">
        <w:rPr>
          <w:rFonts w:asciiTheme="minorHAnsi" w:hAnsiTheme="minorHAnsi"/>
          <w:lang w:val="fr-FR"/>
        </w:rPr>
        <w:fldChar w:fldCharType="separate"/>
      </w:r>
      <w:r w:rsidR="0016377E" w:rsidRPr="0010293E">
        <w:rPr>
          <w:rStyle w:val="Hyperlink"/>
          <w:rFonts w:ascii="Calibri" w:hAnsi="Calibri" w:cs="Calibri" w:hint="eastAsia"/>
          <w:lang w:eastAsia="zh-CN"/>
        </w:rPr>
        <w:t>例如国际电联</w:t>
      </w:r>
      <w:r w:rsidR="0016377E" w:rsidRPr="0010293E">
        <w:rPr>
          <w:rStyle w:val="Hyperlink"/>
          <w:rFonts w:ascii="Calibri" w:hAnsi="Calibri" w:cs="Calibri" w:hint="eastAsia"/>
          <w:lang w:eastAsia="zh-CN"/>
        </w:rPr>
        <w:t>/</w:t>
      </w:r>
      <w:r w:rsidR="0016377E" w:rsidRPr="0010293E">
        <w:rPr>
          <w:rStyle w:val="Hyperlink"/>
          <w:rFonts w:ascii="Calibri" w:hAnsi="Calibri" w:cs="Calibri" w:hint="eastAsia"/>
          <w:lang w:eastAsia="zh-CN"/>
        </w:rPr>
        <w:t>粮农组织数字农业人工智能和物联网焦点组</w:t>
      </w:r>
      <w:r w:rsidR="0016377E">
        <w:rPr>
          <w:rStyle w:val="Hyperlink"/>
          <w:rFonts w:ascii="Calibri" w:hAnsi="Calibri" w:cs="Calibri"/>
          <w:lang w:eastAsia="zh-CN"/>
        </w:rPr>
        <w:fldChar w:fldCharType="end"/>
      </w:r>
      <w:r w:rsidR="0016377E" w:rsidRPr="0010293E">
        <w:rPr>
          <w:rFonts w:ascii="Calibri" w:hAnsi="Calibri" w:cs="Calibri" w:hint="eastAsia"/>
          <w:lang w:eastAsia="zh-CN"/>
        </w:rPr>
        <w:t>，以促进农业部门数字技术和创新的部署，支持可持续农业实践。</w:t>
      </w:r>
    </w:p>
    <w:p w14:paraId="31928C60" w14:textId="41656B08" w:rsidR="0016377E" w:rsidRPr="00575116" w:rsidRDefault="00B4110B" w:rsidP="0016377E">
      <w:pPr>
        <w:pStyle w:val="enumlev1"/>
        <w:rPr>
          <w:lang w:eastAsia="zh-CN"/>
        </w:rPr>
      </w:pPr>
      <w:r w:rsidRPr="00FB160B">
        <w:rPr>
          <w:sz w:val="28"/>
          <w:szCs w:val="28"/>
          <w:lang w:eastAsia="zh-CN"/>
        </w:rPr>
        <w:t>▪</w:t>
      </w:r>
      <w:r w:rsidR="0016377E" w:rsidRPr="00575116">
        <w:rPr>
          <w:lang w:eastAsia="zh-CN"/>
        </w:rPr>
        <w:tab/>
      </w:r>
      <w:r w:rsidR="0016377E" w:rsidRPr="00575116">
        <w:rPr>
          <w:lang w:eastAsia="zh-CN"/>
        </w:rPr>
        <w:t>鼓励国际电联加强与行业论坛（例如</w:t>
      </w:r>
      <w:r w:rsidR="0016377E" w:rsidRPr="00575116">
        <w:rPr>
          <w:lang w:eastAsia="zh-CN"/>
        </w:rPr>
        <w:t>oneM2M</w:t>
      </w:r>
      <w:r w:rsidR="0016377E" w:rsidRPr="00575116">
        <w:rPr>
          <w:lang w:eastAsia="zh-CN"/>
        </w:rPr>
        <w:t>、</w:t>
      </w:r>
      <w:r w:rsidR="0016377E" w:rsidRPr="00575116">
        <w:rPr>
          <w:lang w:eastAsia="zh-CN"/>
        </w:rPr>
        <w:t>LoRa</w:t>
      </w:r>
      <w:r w:rsidR="0016377E" w:rsidRPr="00575116">
        <w:rPr>
          <w:lang w:eastAsia="zh-CN"/>
        </w:rPr>
        <w:t>联盟等）和其他标准确定实体的合作，利用</w:t>
      </w:r>
      <w:r w:rsidR="0016377E" w:rsidRPr="00575116">
        <w:rPr>
          <w:lang w:eastAsia="zh-CN"/>
        </w:rPr>
        <w:t>IEC/ISO/ITU</w:t>
      </w:r>
      <w:r w:rsidR="0016377E" w:rsidRPr="00575116">
        <w:rPr>
          <w:lang w:eastAsia="zh-CN"/>
        </w:rPr>
        <w:t>联合智慧城市任务组等协作平台，以加速城市领域的数字化转型。</w:t>
      </w:r>
    </w:p>
    <w:p w14:paraId="5E20156A" w14:textId="460D9CB1" w:rsidR="0016377E" w:rsidRPr="00575116" w:rsidRDefault="00B4110B" w:rsidP="0016377E">
      <w:pPr>
        <w:pStyle w:val="enumlev1"/>
        <w:rPr>
          <w:lang w:eastAsia="zh-CN"/>
        </w:rPr>
      </w:pPr>
      <w:r w:rsidRPr="00FB160B">
        <w:rPr>
          <w:sz w:val="28"/>
          <w:szCs w:val="28"/>
          <w:lang w:eastAsia="zh-CN"/>
        </w:rPr>
        <w:t>▪</w:t>
      </w:r>
      <w:r w:rsidR="0016377E" w:rsidRPr="00575116">
        <w:rPr>
          <w:lang w:eastAsia="zh-CN"/>
        </w:rPr>
        <w:tab/>
      </w:r>
      <w:r w:rsidR="0016377E" w:rsidRPr="00575116">
        <w:rPr>
          <w:lang w:eastAsia="zh-CN"/>
        </w:rPr>
        <w:t>认识到连接学校的重要性，并对国际电联</w:t>
      </w:r>
      <w:r w:rsidR="0016377E" w:rsidRPr="00575116">
        <w:rPr>
          <w:lang w:eastAsia="zh-CN"/>
        </w:rPr>
        <w:t>/</w:t>
      </w:r>
      <w:r w:rsidR="0016377E" w:rsidRPr="00575116">
        <w:rPr>
          <w:lang w:eastAsia="zh-CN"/>
        </w:rPr>
        <w:t>儿童基金会（</w:t>
      </w:r>
      <w:r w:rsidR="0016377E" w:rsidRPr="00575116">
        <w:rPr>
          <w:lang w:eastAsia="zh-CN"/>
        </w:rPr>
        <w:t>ITU/UNICEF</w:t>
      </w:r>
      <w:r w:rsidR="0016377E" w:rsidRPr="00575116">
        <w:rPr>
          <w:lang w:eastAsia="zh-CN"/>
        </w:rPr>
        <w:t>）的互联网校校通（</w:t>
      </w:r>
      <w:r w:rsidR="0016377E" w:rsidRPr="00575116">
        <w:rPr>
          <w:lang w:eastAsia="zh-CN"/>
        </w:rPr>
        <w:t>Giga</w:t>
      </w:r>
      <w:r w:rsidR="0016377E" w:rsidRPr="00575116">
        <w:rPr>
          <w:lang w:eastAsia="zh-CN"/>
        </w:rPr>
        <w:t>）举措予以认可。</w:t>
      </w:r>
    </w:p>
    <w:p w14:paraId="0FE27BD9" w14:textId="77777777" w:rsidR="0016377E" w:rsidRPr="0010293E" w:rsidRDefault="0016377E" w:rsidP="0016377E">
      <w:pPr>
        <w:pStyle w:val="Heading2"/>
        <w:ind w:left="784" w:hanging="784"/>
        <w:rPr>
          <w:rFonts w:cs="Calibri"/>
          <w:b w:val="0"/>
          <w:bCs/>
          <w:lang w:eastAsia="zh-CN"/>
        </w:rPr>
      </w:pPr>
      <w:r w:rsidRPr="0010293E">
        <w:rPr>
          <w:rFonts w:cs="Calibri"/>
          <w:bCs/>
          <w:lang w:eastAsia="zh-CN"/>
        </w:rPr>
        <w:t>2.4</w:t>
      </w:r>
      <w:r w:rsidRPr="0010293E">
        <w:rPr>
          <w:rFonts w:cs="Calibri"/>
          <w:bCs/>
          <w:lang w:eastAsia="zh-CN"/>
        </w:rPr>
        <w:tab/>
      </w:r>
      <w:r w:rsidRPr="0010293E">
        <w:rPr>
          <w:rFonts w:cs="Calibri" w:hint="eastAsia"/>
          <w:bCs/>
          <w:lang w:eastAsia="zh-CN"/>
        </w:rPr>
        <w:t>如何让数字化转型可持续？</w:t>
      </w:r>
    </w:p>
    <w:p w14:paraId="7EB5DC5D" w14:textId="69D57D47" w:rsidR="0016377E" w:rsidRDefault="0016377E" w:rsidP="0016377E">
      <w:pPr>
        <w:shd w:val="clear" w:color="auto" w:fill="FFFFFF" w:themeFill="background1"/>
        <w:rPr>
          <w:rFonts w:eastAsia="STKaiti" w:cstheme="minorHAnsi"/>
          <w:iCs/>
          <w:bdr w:val="none" w:sz="0" w:space="0" w:color="auto" w:frame="1"/>
          <w:lang w:eastAsia="zh-CN"/>
        </w:rPr>
      </w:pPr>
      <w:r w:rsidRPr="00F7151F">
        <w:rPr>
          <w:rFonts w:eastAsia="STKaiti" w:cstheme="minorHAnsi"/>
          <w:iCs/>
          <w:bdr w:val="none" w:sz="0" w:space="0" w:color="auto" w:frame="1"/>
          <w:lang w:eastAsia="zh-CN"/>
        </w:rPr>
        <w:t>GSS-20</w:t>
      </w:r>
    </w:p>
    <w:p w14:paraId="21D3E641" w14:textId="77777777" w:rsidR="0016377E" w:rsidRPr="00F7151F" w:rsidRDefault="0016377E" w:rsidP="0016377E">
      <w:pPr>
        <w:shd w:val="clear" w:color="auto" w:fill="FFFFFF" w:themeFill="background1"/>
        <w:rPr>
          <w:rFonts w:cstheme="minorHAnsi"/>
          <w:lang w:eastAsia="zh-CN"/>
        </w:rPr>
      </w:pPr>
      <w:r w:rsidRPr="00F7151F">
        <w:rPr>
          <w:rFonts w:eastAsia="STKaiti" w:cstheme="minorHAnsi"/>
          <w:iCs/>
          <w:bdr w:val="none" w:sz="0" w:space="0" w:color="auto" w:frame="1"/>
          <w:lang w:eastAsia="zh-CN"/>
        </w:rPr>
        <w:t>顾及数字化转型在促进可持续性、循环性和复原力方面发挥着不可或缺的作用，</w:t>
      </w:r>
    </w:p>
    <w:p w14:paraId="593518DD" w14:textId="2E16AF6C" w:rsidR="0016377E" w:rsidRPr="00575116" w:rsidRDefault="00B4110B" w:rsidP="0016377E">
      <w:pPr>
        <w:pStyle w:val="enumlev1"/>
        <w:rPr>
          <w:lang w:eastAsia="zh-CN"/>
        </w:rPr>
      </w:pPr>
      <w:r w:rsidRPr="00FB160B">
        <w:rPr>
          <w:sz w:val="28"/>
          <w:szCs w:val="28"/>
          <w:lang w:eastAsia="zh-CN"/>
        </w:rPr>
        <w:t>▪</w:t>
      </w:r>
      <w:r w:rsidR="0016377E" w:rsidRPr="00575116">
        <w:rPr>
          <w:lang w:eastAsia="zh-CN"/>
        </w:rPr>
        <w:tab/>
      </w:r>
      <w:r w:rsidR="0016377E" w:rsidRPr="00575116">
        <w:rPr>
          <w:lang w:eastAsia="zh-CN"/>
        </w:rPr>
        <w:t>强调需要制定国际标准，以加速向净零、能源效率、循环经济过渡，在全球范围内实现可持续发展目标并保护生物多样性。它还敦促国际电联继续加强与其他标准制定组织（包括</w:t>
      </w:r>
      <w:r w:rsidR="0016377E" w:rsidRPr="00575116">
        <w:rPr>
          <w:lang w:eastAsia="zh-CN"/>
        </w:rPr>
        <w:t>ISO</w:t>
      </w:r>
      <w:r w:rsidR="0016377E" w:rsidRPr="00575116">
        <w:rPr>
          <w:lang w:eastAsia="zh-CN"/>
        </w:rPr>
        <w:t>、</w:t>
      </w:r>
      <w:r w:rsidR="0016377E" w:rsidRPr="00575116">
        <w:rPr>
          <w:lang w:eastAsia="zh-CN"/>
        </w:rPr>
        <w:t>IEC</w:t>
      </w:r>
      <w:r w:rsidR="0016377E" w:rsidRPr="00575116">
        <w:rPr>
          <w:lang w:eastAsia="zh-CN"/>
        </w:rPr>
        <w:t>和其他联合国实体（例如环境署（</w:t>
      </w:r>
      <w:r w:rsidR="0016377E" w:rsidRPr="00575116">
        <w:rPr>
          <w:lang w:eastAsia="zh-CN"/>
        </w:rPr>
        <w:t>UNEP</w:t>
      </w:r>
      <w:r w:rsidR="0016377E" w:rsidRPr="00575116">
        <w:rPr>
          <w:lang w:eastAsia="zh-CN"/>
        </w:rPr>
        <w:t>）、工发组织（</w:t>
      </w:r>
      <w:r w:rsidR="0016377E" w:rsidRPr="00575116">
        <w:rPr>
          <w:lang w:eastAsia="zh-CN"/>
        </w:rPr>
        <w:t>UNIDO</w:t>
      </w:r>
      <w:r w:rsidR="0016377E" w:rsidRPr="00575116">
        <w:rPr>
          <w:lang w:eastAsia="zh-CN"/>
        </w:rPr>
        <w:t>）、世界气象组织（</w:t>
      </w:r>
      <w:r w:rsidR="0016377E" w:rsidRPr="00575116">
        <w:rPr>
          <w:lang w:eastAsia="zh-CN"/>
        </w:rPr>
        <w:t>WMO</w:t>
      </w:r>
      <w:r w:rsidR="0016377E" w:rsidRPr="00575116">
        <w:rPr>
          <w:lang w:eastAsia="zh-CN"/>
        </w:rPr>
        <w:t>）和联合国气候变化框架公约（</w:t>
      </w:r>
      <w:r w:rsidR="0016377E" w:rsidRPr="00575116">
        <w:rPr>
          <w:lang w:eastAsia="zh-CN"/>
        </w:rPr>
        <w:t>UNFCCC</w:t>
      </w:r>
      <w:r w:rsidR="0016377E" w:rsidRPr="00575116">
        <w:rPr>
          <w:lang w:eastAsia="zh-CN"/>
        </w:rPr>
        <w:t>）））合作，以实现《巴黎协定》、《格拉斯哥气候公约》和国际电联《连通</w:t>
      </w:r>
      <w:r w:rsidR="0016377E" w:rsidRPr="00575116">
        <w:rPr>
          <w:lang w:eastAsia="zh-CN"/>
        </w:rPr>
        <w:t>2030</w:t>
      </w:r>
      <w:r w:rsidR="0016377E" w:rsidRPr="00575116">
        <w:rPr>
          <w:lang w:eastAsia="zh-CN"/>
        </w:rPr>
        <w:t>年议程》中设定的目标。</w:t>
      </w:r>
    </w:p>
    <w:p w14:paraId="6507BA8A" w14:textId="3842C68D" w:rsidR="0016377E" w:rsidRPr="00575116" w:rsidRDefault="00B4110B" w:rsidP="0016377E">
      <w:pPr>
        <w:pStyle w:val="enumlev1"/>
        <w:rPr>
          <w:lang w:eastAsia="zh-CN"/>
        </w:rPr>
      </w:pPr>
      <w:r w:rsidRPr="00FB160B">
        <w:rPr>
          <w:sz w:val="28"/>
          <w:szCs w:val="28"/>
          <w:lang w:eastAsia="zh-CN"/>
        </w:rPr>
        <w:t>▪</w:t>
      </w:r>
      <w:r w:rsidR="0016377E" w:rsidRPr="00575116">
        <w:rPr>
          <w:lang w:eastAsia="zh-CN"/>
        </w:rPr>
        <w:tab/>
      </w:r>
      <w:r w:rsidR="0016377E" w:rsidRPr="00575116">
        <w:rPr>
          <w:lang w:eastAsia="zh-CN"/>
        </w:rPr>
        <w:t>建议国际电联继续制定标准，通过就全球可持续产品的要求提供指导，支持电信</w:t>
      </w:r>
      <w:r w:rsidR="0016377E" w:rsidRPr="00575116">
        <w:rPr>
          <w:lang w:eastAsia="zh-CN"/>
        </w:rPr>
        <w:t>/ICT</w:t>
      </w:r>
      <w:r w:rsidR="0016377E" w:rsidRPr="00575116">
        <w:rPr>
          <w:lang w:eastAsia="zh-CN"/>
        </w:rPr>
        <w:t>行业向循环经济过渡。在此方面，</w:t>
      </w:r>
      <w:r w:rsidR="000332E6" w:rsidRPr="00575116">
        <w:fldChar w:fldCharType="begin"/>
      </w:r>
      <w:r w:rsidR="000332E6" w:rsidRPr="00575116">
        <w:rPr>
          <w:lang w:eastAsia="zh-CN"/>
        </w:rPr>
        <w:instrText xml:space="preserve"> HYPERLINK "https://www.itu.int/ITU-T/recommendations/rec.aspx?rec=14301" </w:instrText>
      </w:r>
      <w:r w:rsidR="000332E6" w:rsidRPr="00575116">
        <w:fldChar w:fldCharType="separate"/>
      </w:r>
      <w:r w:rsidR="0016377E" w:rsidRPr="00575116">
        <w:rPr>
          <w:rStyle w:val="Hyperlink"/>
          <w:lang w:eastAsia="zh-CN"/>
        </w:rPr>
        <w:t>ITU-T L.1023</w:t>
      </w:r>
      <w:r w:rsidR="0016377E" w:rsidRPr="00575116">
        <w:rPr>
          <w:rStyle w:val="Hyperlink"/>
          <w:lang w:eastAsia="zh-CN"/>
        </w:rPr>
        <w:t>建议书</w:t>
      </w:r>
      <w:r w:rsidR="000332E6" w:rsidRPr="00575116">
        <w:rPr>
          <w:rStyle w:val="Hyperlink"/>
          <w:lang w:eastAsia="zh-CN"/>
        </w:rPr>
        <w:fldChar w:fldCharType="end"/>
      </w:r>
      <w:r w:rsidR="0016377E" w:rsidRPr="00575116">
        <w:rPr>
          <w:lang w:eastAsia="zh-CN"/>
        </w:rPr>
        <w:t>为设计和验证</w:t>
      </w:r>
      <w:r w:rsidR="0016377E" w:rsidRPr="00575116">
        <w:rPr>
          <w:lang w:eastAsia="zh-CN"/>
        </w:rPr>
        <w:t>ICT</w:t>
      </w:r>
      <w:r w:rsidR="0016377E" w:rsidRPr="00575116">
        <w:rPr>
          <w:lang w:eastAsia="zh-CN"/>
        </w:rPr>
        <w:t>产品的循环性提供了有用的指导，同时考虑到生产者延伸责任的概念。</w:t>
      </w:r>
    </w:p>
    <w:p w14:paraId="748C1B51" w14:textId="25B18EAD" w:rsidR="0016377E" w:rsidRPr="00575116" w:rsidRDefault="00B4110B" w:rsidP="0016377E">
      <w:pPr>
        <w:pStyle w:val="enumlev1"/>
        <w:rPr>
          <w:lang w:eastAsia="zh-CN"/>
        </w:rPr>
      </w:pPr>
      <w:r w:rsidRPr="00FB160B">
        <w:rPr>
          <w:sz w:val="28"/>
          <w:szCs w:val="28"/>
          <w:lang w:eastAsia="zh-CN"/>
        </w:rPr>
        <w:t>▪</w:t>
      </w:r>
      <w:r w:rsidR="0016377E" w:rsidRPr="00575116">
        <w:rPr>
          <w:lang w:eastAsia="zh-CN"/>
        </w:rPr>
        <w:tab/>
      </w:r>
      <w:r w:rsidR="0016377E" w:rsidRPr="00575116">
        <w:rPr>
          <w:lang w:eastAsia="zh-CN"/>
        </w:rPr>
        <w:t>鼓励电信</w:t>
      </w:r>
      <w:r w:rsidR="0016377E" w:rsidRPr="00575116">
        <w:rPr>
          <w:lang w:eastAsia="zh-CN"/>
        </w:rPr>
        <w:t>/ICT</w:t>
      </w:r>
      <w:r w:rsidR="0016377E" w:rsidRPr="00575116">
        <w:rPr>
          <w:lang w:eastAsia="zh-CN"/>
        </w:rPr>
        <w:t>部门根据</w:t>
      </w:r>
      <w:r w:rsidR="0016377E" w:rsidRPr="00575116">
        <w:fldChar w:fldCharType="begin"/>
      </w:r>
      <w:r w:rsidR="0016377E" w:rsidRPr="00575116">
        <w:rPr>
          <w:lang w:eastAsia="zh-CN"/>
        </w:rPr>
        <w:instrText xml:space="preserve"> HYPERLINK "https://www.itu.int/rec/T-REC-L.1471" </w:instrText>
      </w:r>
      <w:r w:rsidR="0016377E" w:rsidRPr="00575116">
        <w:fldChar w:fldCharType="separate"/>
      </w:r>
      <w:r w:rsidR="0016377E" w:rsidRPr="00575116">
        <w:rPr>
          <w:rStyle w:val="Hyperlink"/>
          <w:lang w:eastAsia="zh-CN"/>
        </w:rPr>
        <w:t>ITU-T L.1471</w:t>
      </w:r>
      <w:r w:rsidR="0016377E" w:rsidRPr="00575116">
        <w:rPr>
          <w:rStyle w:val="Hyperlink"/>
          <w:lang w:eastAsia="zh-CN"/>
        </w:rPr>
        <w:t>建议书</w:t>
      </w:r>
      <w:r w:rsidR="0016377E" w:rsidRPr="00575116">
        <w:rPr>
          <w:rStyle w:val="Hyperlink"/>
          <w:lang w:eastAsia="zh-CN"/>
        </w:rPr>
        <w:fldChar w:fldCharType="end"/>
      </w:r>
      <w:r w:rsidR="0016377E" w:rsidRPr="00575116">
        <w:rPr>
          <w:lang w:eastAsia="zh-CN"/>
        </w:rPr>
        <w:t>优先减少范围</w:t>
      </w:r>
      <w:r w:rsidR="0016377E" w:rsidRPr="00575116">
        <w:rPr>
          <w:lang w:eastAsia="zh-CN"/>
        </w:rPr>
        <w:t>1</w:t>
      </w:r>
      <w:r w:rsidR="0016377E" w:rsidRPr="00575116">
        <w:rPr>
          <w:lang w:eastAsia="zh-CN"/>
        </w:rPr>
        <w:t>、</w:t>
      </w:r>
      <w:r w:rsidR="0016377E" w:rsidRPr="00575116">
        <w:rPr>
          <w:lang w:eastAsia="zh-CN"/>
        </w:rPr>
        <w:t>2</w:t>
      </w:r>
      <w:r w:rsidR="0016377E" w:rsidRPr="00575116">
        <w:rPr>
          <w:lang w:eastAsia="zh-CN"/>
        </w:rPr>
        <w:t>和</w:t>
      </w:r>
      <w:r w:rsidR="0016377E" w:rsidRPr="00575116">
        <w:rPr>
          <w:lang w:eastAsia="zh-CN"/>
        </w:rPr>
        <w:t>3</w:t>
      </w:r>
      <w:r w:rsidR="0016377E" w:rsidRPr="00575116">
        <w:rPr>
          <w:lang w:eastAsia="zh-CN"/>
        </w:rPr>
        <w:t>的排放，特别是强调在</w:t>
      </w:r>
      <w:hyperlink r:id="rId18" w:history="1">
        <w:r w:rsidR="0016377E" w:rsidRPr="00575116">
          <w:rPr>
            <w:rStyle w:val="Hyperlink"/>
            <w:lang w:eastAsia="zh-CN"/>
          </w:rPr>
          <w:t>ITU-T L.1470</w:t>
        </w:r>
        <w:r w:rsidR="0016377E" w:rsidRPr="00575116">
          <w:rPr>
            <w:rStyle w:val="Hyperlink"/>
            <w:lang w:eastAsia="zh-CN"/>
          </w:rPr>
          <w:t>建议书</w:t>
        </w:r>
      </w:hyperlink>
      <w:r w:rsidR="0016377E" w:rsidRPr="00575116">
        <w:rPr>
          <w:lang w:eastAsia="zh-CN"/>
        </w:rPr>
        <w:t>所概述的这个决定性十年期间的减排，从而致力于实现净零目标，并通过开发帮助其他部门减少足迹的解决方案。</w:t>
      </w:r>
    </w:p>
    <w:p w14:paraId="3E00F4CD" w14:textId="01D24003" w:rsidR="0016377E" w:rsidRPr="00575116" w:rsidRDefault="00B4110B" w:rsidP="0016377E">
      <w:pPr>
        <w:pStyle w:val="enumlev1"/>
        <w:rPr>
          <w:lang w:eastAsia="zh-CN"/>
        </w:rPr>
      </w:pPr>
      <w:r w:rsidRPr="00FB160B">
        <w:rPr>
          <w:sz w:val="28"/>
          <w:szCs w:val="28"/>
          <w:lang w:eastAsia="zh-CN"/>
        </w:rPr>
        <w:t>▪</w:t>
      </w:r>
      <w:r w:rsidR="0016377E" w:rsidRPr="00575116">
        <w:rPr>
          <w:lang w:eastAsia="zh-CN"/>
        </w:rPr>
        <w:tab/>
      </w:r>
      <w:r w:rsidR="0016377E" w:rsidRPr="00575116">
        <w:rPr>
          <w:lang w:eastAsia="zh-CN"/>
        </w:rPr>
        <w:t>强调</w:t>
      </w:r>
      <w:r w:rsidR="000C75E4">
        <w:fldChar w:fldCharType="begin"/>
      </w:r>
      <w:r w:rsidR="000C75E4">
        <w:rPr>
          <w:lang w:eastAsia="zh-CN"/>
        </w:rPr>
        <w:instrText xml:space="preserve"> HYPERLINK "https://www.itu.int/ITU-T/recommendations/rec.aspx?rec=14082" \t "_blank" </w:instrText>
      </w:r>
      <w:r w:rsidR="000C75E4">
        <w:fldChar w:fldCharType="separate"/>
      </w:r>
      <w:r w:rsidR="000C75E4" w:rsidRPr="00D60B9F">
        <w:rPr>
          <w:rStyle w:val="normaltextrun"/>
          <w:color w:val="0000FF"/>
          <w:u w:val="single"/>
          <w:shd w:val="clear" w:color="auto" w:fill="FFFFFF"/>
          <w:lang w:eastAsia="zh-CN"/>
        </w:rPr>
        <w:t>ITU-T L.1380</w:t>
      </w:r>
      <w:r w:rsidR="000C75E4">
        <w:rPr>
          <w:rStyle w:val="normaltextrun"/>
          <w:rFonts w:hint="eastAsia"/>
          <w:color w:val="0000FF"/>
          <w:u w:val="single"/>
          <w:shd w:val="clear" w:color="auto" w:fill="FFFFFF"/>
          <w:lang w:eastAsia="zh-CN"/>
        </w:rPr>
        <w:t>系列建议书</w:t>
      </w:r>
      <w:r w:rsidR="000C75E4">
        <w:rPr>
          <w:rStyle w:val="normaltextrun"/>
          <w:color w:val="0000FF"/>
          <w:u w:val="single"/>
          <w:shd w:val="clear" w:color="auto" w:fill="FFFFFF"/>
        </w:rPr>
        <w:fldChar w:fldCharType="end"/>
      </w:r>
      <w:r w:rsidR="0016377E" w:rsidRPr="00575116">
        <w:rPr>
          <w:lang w:eastAsia="zh-CN"/>
        </w:rPr>
        <w:t>等标准可以促进节能和减少碳排放，为如何实现智慧能源提供指导，以便利用数字技术最大限度地利用可再生和清洁能源。</w:t>
      </w:r>
    </w:p>
    <w:p w14:paraId="45BC3869" w14:textId="62146494" w:rsidR="0016377E" w:rsidRPr="00575116" w:rsidRDefault="00B4110B" w:rsidP="0016377E">
      <w:pPr>
        <w:pStyle w:val="enumlev1"/>
        <w:rPr>
          <w:lang w:eastAsia="zh-CN"/>
        </w:rPr>
      </w:pPr>
      <w:r w:rsidRPr="00FB160B">
        <w:rPr>
          <w:sz w:val="28"/>
          <w:szCs w:val="28"/>
          <w:lang w:eastAsia="zh-CN"/>
        </w:rPr>
        <w:t>▪</w:t>
      </w:r>
      <w:r w:rsidR="0016377E" w:rsidRPr="00575116">
        <w:rPr>
          <w:lang w:eastAsia="zh-CN"/>
        </w:rPr>
        <w:tab/>
      </w:r>
      <w:r w:rsidR="0016377E" w:rsidRPr="00575116">
        <w:rPr>
          <w:lang w:eastAsia="zh-CN"/>
        </w:rPr>
        <w:t>鼓励国际电联继续在这些领域（包括对生物多样性的影响）制定目标并制定标准、轨迹和数据库，以支持对电信</w:t>
      </w:r>
      <w:r w:rsidR="0016377E" w:rsidRPr="00575116">
        <w:rPr>
          <w:lang w:eastAsia="zh-CN"/>
        </w:rPr>
        <w:t>/ICT</w:t>
      </w:r>
      <w:r w:rsidR="0016377E" w:rsidRPr="00575116">
        <w:rPr>
          <w:lang w:eastAsia="zh-CN"/>
        </w:rPr>
        <w:t>的环境影响进行基于科学的公平评估和演变，从而加强其积极影响并消除任何不利影响。</w:t>
      </w:r>
    </w:p>
    <w:p w14:paraId="60CCE91D" w14:textId="76E84CDC" w:rsidR="0016377E" w:rsidRPr="00575116" w:rsidRDefault="00B4110B" w:rsidP="0016377E">
      <w:pPr>
        <w:pStyle w:val="enumlev1"/>
        <w:rPr>
          <w:lang w:eastAsia="zh-CN"/>
        </w:rPr>
      </w:pPr>
      <w:r w:rsidRPr="00FB160B">
        <w:rPr>
          <w:sz w:val="28"/>
          <w:szCs w:val="28"/>
          <w:lang w:eastAsia="zh-CN"/>
        </w:rPr>
        <w:t>▪</w:t>
      </w:r>
      <w:r w:rsidR="0016377E" w:rsidRPr="00575116">
        <w:rPr>
          <w:lang w:eastAsia="zh-CN"/>
        </w:rPr>
        <w:tab/>
      </w:r>
      <w:r w:rsidR="0016377E" w:rsidRPr="00575116">
        <w:rPr>
          <w:lang w:eastAsia="zh-CN"/>
        </w:rPr>
        <w:t>强调</w:t>
      </w:r>
      <w:r w:rsidR="0016377E" w:rsidRPr="00575116">
        <w:fldChar w:fldCharType="begin"/>
      </w:r>
      <w:r w:rsidR="0016377E" w:rsidRPr="00575116">
        <w:rPr>
          <w:lang w:eastAsia="zh-CN"/>
        </w:rPr>
        <w:instrText xml:space="preserve"> HYPERLINK "https://www.itu.int/en/ITU-T/focusgroups/ai4ee/Pages/default.aspx" </w:instrText>
      </w:r>
      <w:r w:rsidR="0016377E" w:rsidRPr="00575116">
        <w:fldChar w:fldCharType="separate"/>
      </w:r>
      <w:r w:rsidR="0016377E" w:rsidRPr="00575116">
        <w:rPr>
          <w:rStyle w:val="Hyperlink"/>
          <w:lang w:eastAsia="zh-CN"/>
        </w:rPr>
        <w:t>国际电联人工智能和其他新兴技术环境效率焦点组（</w:t>
      </w:r>
      <w:r w:rsidR="00915736" w:rsidRPr="00915736">
        <w:rPr>
          <w:rStyle w:val="Hyperlink"/>
          <w:lang w:eastAsia="zh-CN"/>
        </w:rPr>
        <w:t>FG-AI4EE</w:t>
      </w:r>
      <w:r w:rsidR="0016377E" w:rsidRPr="00575116">
        <w:rPr>
          <w:rStyle w:val="Hyperlink"/>
          <w:lang w:eastAsia="zh-CN"/>
        </w:rPr>
        <w:t>）</w:t>
      </w:r>
      <w:r w:rsidR="0016377E" w:rsidRPr="00575116">
        <w:rPr>
          <w:rStyle w:val="Hyperlink"/>
          <w:lang w:eastAsia="zh-CN"/>
        </w:rPr>
        <w:fldChar w:fldCharType="end"/>
      </w:r>
      <w:r w:rsidR="0016377E" w:rsidRPr="00575116">
        <w:rPr>
          <w:lang w:eastAsia="zh-CN"/>
        </w:rPr>
        <w:t>等开放平台可以促进知识转移并确定标准化需求，以提高数字化转型的可持续性。</w:t>
      </w:r>
    </w:p>
    <w:p w14:paraId="3017D6A0" w14:textId="77777777" w:rsidR="0016377E" w:rsidRPr="0016377E" w:rsidRDefault="0016377E" w:rsidP="0016377E">
      <w:pPr>
        <w:pStyle w:val="Heading2"/>
        <w:rPr>
          <w:lang w:eastAsia="zh-CN"/>
        </w:rPr>
      </w:pPr>
      <w:bookmarkStart w:id="1" w:name="_Hlk89794800"/>
      <w:r w:rsidRPr="0016377E">
        <w:rPr>
          <w:lang w:eastAsia="zh-CN"/>
        </w:rPr>
        <w:t>2.5</w:t>
      </w:r>
      <w:r w:rsidRPr="0016377E">
        <w:rPr>
          <w:lang w:eastAsia="zh-CN"/>
        </w:rPr>
        <w:tab/>
      </w:r>
      <w:r w:rsidRPr="0010293E">
        <w:rPr>
          <w:rFonts w:hint="eastAsia"/>
          <w:lang w:eastAsia="zh-CN"/>
        </w:rPr>
        <w:t>人工智能助力道路安全</w:t>
      </w:r>
    </w:p>
    <w:p w14:paraId="1D9190D8" w14:textId="77777777" w:rsidR="0016377E" w:rsidRPr="0016377E" w:rsidRDefault="0016377E" w:rsidP="0016377E">
      <w:pPr>
        <w:shd w:val="clear" w:color="auto" w:fill="FFFFFF" w:themeFill="background1"/>
        <w:rPr>
          <w:rFonts w:eastAsia="STKaiti" w:cstheme="minorHAnsi"/>
          <w:iCs/>
          <w:bdr w:val="none" w:sz="0" w:space="0" w:color="auto" w:frame="1"/>
          <w:lang w:eastAsia="zh-CN"/>
        </w:rPr>
      </w:pPr>
      <w:r w:rsidRPr="0016377E">
        <w:rPr>
          <w:rFonts w:eastAsia="STKaiti" w:cstheme="minorHAnsi"/>
          <w:iCs/>
          <w:bdr w:val="none" w:sz="0" w:space="0" w:color="auto" w:frame="1"/>
          <w:lang w:eastAsia="zh-CN"/>
        </w:rPr>
        <w:t>GSS-20</w:t>
      </w:r>
    </w:p>
    <w:p w14:paraId="746E6457" w14:textId="77777777" w:rsidR="0016377E" w:rsidRPr="00F7151F" w:rsidRDefault="0016377E" w:rsidP="0016377E">
      <w:pPr>
        <w:shd w:val="clear" w:color="auto" w:fill="FFFFFF" w:themeFill="background1"/>
        <w:rPr>
          <w:rFonts w:eastAsia="STKaiti" w:cstheme="minorHAnsi"/>
          <w:iCs/>
          <w:bdr w:val="none" w:sz="0" w:space="0" w:color="auto" w:frame="1"/>
          <w:lang w:eastAsia="zh-CN"/>
        </w:rPr>
      </w:pPr>
      <w:r w:rsidRPr="00F7151F">
        <w:rPr>
          <w:rFonts w:eastAsia="STKaiti" w:cstheme="minorHAnsi"/>
          <w:iCs/>
          <w:bdr w:val="none" w:sz="0" w:space="0" w:color="auto" w:frame="1"/>
          <w:lang w:eastAsia="zh-CN"/>
        </w:rPr>
        <w:t>认识到数字创新</w:t>
      </w:r>
      <w:r>
        <w:rPr>
          <w:rFonts w:eastAsia="STKaiti" w:cstheme="minorHAnsi" w:hint="eastAsia"/>
          <w:iCs/>
          <w:bdr w:val="none" w:sz="0" w:space="0" w:color="auto" w:frame="1"/>
          <w:lang w:eastAsia="zh-CN"/>
        </w:rPr>
        <w:t>和连通性</w:t>
      </w:r>
      <w:r w:rsidRPr="00F7151F">
        <w:rPr>
          <w:rFonts w:eastAsia="STKaiti" w:cstheme="minorHAnsi"/>
          <w:iCs/>
          <w:bdr w:val="none" w:sz="0" w:space="0" w:color="auto" w:frame="1"/>
          <w:lang w:eastAsia="zh-CN"/>
        </w:rPr>
        <w:t>在实现辅助驾驶和自动驾驶以及确保所有人的道路安全方面发挥着</w:t>
      </w:r>
      <w:r>
        <w:rPr>
          <w:rFonts w:eastAsia="STKaiti" w:cstheme="minorHAnsi" w:hint="eastAsia"/>
          <w:iCs/>
          <w:bdr w:val="none" w:sz="0" w:space="0" w:color="auto" w:frame="1"/>
          <w:lang w:eastAsia="zh-CN"/>
        </w:rPr>
        <w:t>决定性和</w:t>
      </w:r>
      <w:r w:rsidRPr="00F7151F">
        <w:rPr>
          <w:rFonts w:eastAsia="STKaiti" w:cstheme="minorHAnsi"/>
          <w:iCs/>
          <w:bdr w:val="none" w:sz="0" w:space="0" w:color="auto" w:frame="1"/>
          <w:lang w:eastAsia="zh-CN"/>
        </w:rPr>
        <w:t>重要作用，</w:t>
      </w:r>
    </w:p>
    <w:p w14:paraId="4A0C4E72" w14:textId="129066C4" w:rsidR="0016377E" w:rsidRPr="0010293E" w:rsidRDefault="00B4110B" w:rsidP="0016377E">
      <w:pPr>
        <w:pStyle w:val="enumlev1"/>
        <w:rPr>
          <w:lang w:eastAsia="zh-CN"/>
        </w:rPr>
      </w:pPr>
      <w:bookmarkStart w:id="2" w:name="_Hlk89794780"/>
      <w:bookmarkEnd w:id="1"/>
      <w:r w:rsidRPr="00FB160B">
        <w:rPr>
          <w:sz w:val="28"/>
          <w:szCs w:val="28"/>
          <w:lang w:eastAsia="zh-CN"/>
        </w:rPr>
        <w:t>▪</w:t>
      </w:r>
      <w:r w:rsidR="0016377E" w:rsidRPr="0010293E">
        <w:rPr>
          <w:lang w:eastAsia="zh-CN"/>
        </w:rPr>
        <w:tab/>
      </w:r>
      <w:r w:rsidR="0016377E" w:rsidRPr="0010293E">
        <w:rPr>
          <w:rFonts w:hint="eastAsia"/>
          <w:lang w:eastAsia="zh-CN"/>
        </w:rPr>
        <w:t>关注国际电联、其他标准制定组织和联合国实体在利用人工智能</w:t>
      </w:r>
      <w:r w:rsidR="0016377E">
        <w:rPr>
          <w:rFonts w:hint="eastAsia"/>
          <w:lang w:eastAsia="zh-CN"/>
        </w:rPr>
        <w:t>的潜力</w:t>
      </w:r>
      <w:r w:rsidR="0016377E" w:rsidRPr="0010293E">
        <w:rPr>
          <w:rFonts w:hint="eastAsia"/>
          <w:lang w:eastAsia="zh-CN"/>
        </w:rPr>
        <w:t>和其他数字技术，通过更好地收集和分析碰撞数据、改善</w:t>
      </w:r>
      <w:r w:rsidR="0016377E">
        <w:rPr>
          <w:rFonts w:hint="eastAsia"/>
          <w:lang w:eastAsia="zh-CN"/>
        </w:rPr>
        <w:t>道路</w:t>
      </w:r>
      <w:r w:rsidR="0016377E" w:rsidRPr="0010293E">
        <w:rPr>
          <w:rFonts w:hint="eastAsia"/>
          <w:lang w:eastAsia="zh-CN"/>
        </w:rPr>
        <w:t>通信基础设施、提高碰撞后响应效率，利用日益普及的手机开发道路安全功能（应用）来提高道路安全性方面的作用。国际电联与秘书长技术特使办公室和联合国秘书长道路安全特使共同发起了</w:t>
      </w:r>
      <w:r w:rsidR="00444122">
        <w:rPr>
          <w:rFonts w:ascii="Calibri" w:hAnsi="Calibri" w:cs="Calibri"/>
          <w:lang w:eastAsia="zh-CN"/>
        </w:rPr>
        <w:fldChar w:fldCharType="begin"/>
      </w:r>
      <w:r w:rsidR="00444122">
        <w:rPr>
          <w:rFonts w:ascii="Calibri" w:hAnsi="Calibri" w:cs="Calibri"/>
          <w:lang w:eastAsia="zh-CN"/>
        </w:rPr>
        <w:instrText xml:space="preserve"> </w:instrText>
      </w:r>
      <w:r w:rsidR="00444122">
        <w:rPr>
          <w:rFonts w:ascii="Calibri" w:hAnsi="Calibri" w:cs="Calibri" w:hint="eastAsia"/>
          <w:lang w:eastAsia="zh-CN"/>
        </w:rPr>
        <w:instrText>HYPERLINK "https://aiforgood.itu.int/about/ai-ml-pre-standardization/ai4roadsafety/"</w:instrText>
      </w:r>
      <w:r w:rsidR="00444122">
        <w:rPr>
          <w:rFonts w:ascii="Calibri" w:hAnsi="Calibri" w:cs="Calibri"/>
          <w:lang w:eastAsia="zh-CN"/>
        </w:rPr>
        <w:instrText xml:space="preserve"> </w:instrText>
      </w:r>
      <w:r w:rsidR="00444122">
        <w:rPr>
          <w:rFonts w:ascii="Calibri" w:hAnsi="Calibri" w:cs="Calibri"/>
          <w:lang w:eastAsia="zh-CN"/>
        </w:rPr>
      </w:r>
      <w:r w:rsidR="00444122">
        <w:rPr>
          <w:rFonts w:ascii="Calibri" w:hAnsi="Calibri" w:cs="Calibri"/>
          <w:lang w:eastAsia="zh-CN"/>
        </w:rPr>
        <w:fldChar w:fldCharType="separate"/>
      </w:r>
      <w:r w:rsidR="0016377E" w:rsidRPr="00444122">
        <w:rPr>
          <w:rStyle w:val="Hyperlink"/>
          <w:rFonts w:ascii="Calibri" w:hAnsi="Calibri" w:cs="Calibri" w:hint="eastAsia"/>
          <w:lang w:eastAsia="zh-CN"/>
        </w:rPr>
        <w:t>人工智能促进道路安</w:t>
      </w:r>
      <w:r w:rsidR="0006539C" w:rsidRPr="00444122">
        <w:rPr>
          <w:rStyle w:val="Hyperlink"/>
          <w:rFonts w:ascii="Calibri" w:hAnsi="Calibri" w:cs="Calibri" w:hint="eastAsia"/>
          <w:lang w:eastAsia="zh-CN"/>
        </w:rPr>
        <w:t>全举措</w:t>
      </w:r>
      <w:r w:rsidR="00444122">
        <w:rPr>
          <w:rFonts w:ascii="Calibri" w:hAnsi="Calibri" w:cs="Calibri"/>
          <w:lang w:eastAsia="zh-CN"/>
        </w:rPr>
        <w:fldChar w:fldCharType="end"/>
      </w:r>
      <w:r w:rsidR="0006539C" w:rsidRPr="00444122">
        <w:rPr>
          <w:rFonts w:ascii="Calibri" w:hAnsi="Calibri" w:cs="Calibri" w:hint="eastAsia"/>
          <w:lang w:eastAsia="zh-CN"/>
        </w:rPr>
        <w:t>，特别支持发展中国家从旨在改善道路安全的现有技术，包括支持数据收集的技术中充分受益</w:t>
      </w:r>
      <w:r w:rsidR="0016377E">
        <w:rPr>
          <w:rFonts w:hint="eastAsia"/>
          <w:lang w:eastAsia="zh-CN"/>
        </w:rPr>
        <w:t>。</w:t>
      </w:r>
    </w:p>
    <w:p w14:paraId="552A5A88" w14:textId="6FC9542F" w:rsidR="0016377E" w:rsidRDefault="00B4110B" w:rsidP="0016377E">
      <w:pPr>
        <w:pStyle w:val="enumlev1"/>
        <w:rPr>
          <w:lang w:eastAsia="zh-CN"/>
        </w:rPr>
      </w:pPr>
      <w:r w:rsidRPr="00FB160B">
        <w:rPr>
          <w:sz w:val="28"/>
          <w:szCs w:val="28"/>
          <w:lang w:eastAsia="zh-CN"/>
        </w:rPr>
        <w:lastRenderedPageBreak/>
        <w:t>▪</w:t>
      </w:r>
      <w:r w:rsidR="0016377E" w:rsidRPr="0010293E">
        <w:rPr>
          <w:lang w:eastAsia="zh-CN"/>
        </w:rPr>
        <w:tab/>
      </w:r>
      <w:r w:rsidR="0016377E" w:rsidRPr="0010293E">
        <w:rPr>
          <w:rFonts w:hint="eastAsia"/>
          <w:lang w:eastAsia="zh-CN"/>
        </w:rPr>
        <w:t>提高</w:t>
      </w:r>
      <w:r w:rsidR="0016377E">
        <w:rPr>
          <w:rFonts w:hint="eastAsia"/>
          <w:lang w:eastAsia="zh-CN"/>
        </w:rPr>
        <w:t>包括国际电联、</w:t>
      </w:r>
      <w:r w:rsidR="0016377E">
        <w:rPr>
          <w:rFonts w:hint="eastAsia"/>
          <w:lang w:eastAsia="zh-CN"/>
        </w:rPr>
        <w:t>ISO</w:t>
      </w:r>
      <w:r w:rsidR="0016377E">
        <w:rPr>
          <w:rFonts w:hint="eastAsia"/>
          <w:lang w:eastAsia="zh-CN"/>
        </w:rPr>
        <w:t>和</w:t>
      </w:r>
      <w:r w:rsidR="0016377E" w:rsidRPr="00E90498">
        <w:rPr>
          <w:rFonts w:hint="eastAsia"/>
          <w:lang w:eastAsia="zh-CN"/>
        </w:rPr>
        <w:t>联合国欧洲经济委员会</w:t>
      </w:r>
      <w:r w:rsidR="0016377E">
        <w:rPr>
          <w:rFonts w:hint="eastAsia"/>
          <w:lang w:eastAsia="zh-CN"/>
        </w:rPr>
        <w:t>（</w:t>
      </w:r>
      <w:r w:rsidR="0016377E">
        <w:rPr>
          <w:rFonts w:hint="eastAsia"/>
          <w:lang w:eastAsia="zh-CN"/>
        </w:rPr>
        <w:t>UNECE</w:t>
      </w:r>
      <w:r w:rsidR="0016377E">
        <w:rPr>
          <w:rFonts w:hint="eastAsia"/>
          <w:lang w:eastAsia="zh-CN"/>
        </w:rPr>
        <w:t>）等相关</w:t>
      </w:r>
      <w:r w:rsidR="0016377E" w:rsidRPr="0010293E">
        <w:rPr>
          <w:rFonts w:hint="eastAsia"/>
          <w:lang w:eastAsia="zh-CN"/>
        </w:rPr>
        <w:t>标准</w:t>
      </w:r>
      <w:r w:rsidR="0016377E">
        <w:rPr>
          <w:rFonts w:hint="eastAsia"/>
          <w:lang w:eastAsia="zh-CN"/>
        </w:rPr>
        <w:t>化和监管组织在其权能领域内制定的、以及标准</w:t>
      </w:r>
      <w:r w:rsidR="0016377E">
        <w:rPr>
          <w:rFonts w:hint="eastAsia"/>
          <w:lang w:eastAsia="zh-CN"/>
        </w:rPr>
        <w:t>/</w:t>
      </w:r>
      <w:r w:rsidR="0016377E">
        <w:rPr>
          <w:rFonts w:hint="eastAsia"/>
          <w:lang w:eastAsia="zh-CN"/>
        </w:rPr>
        <w:t>法规实体</w:t>
      </w:r>
      <w:r w:rsidR="0016377E" w:rsidRPr="0010293E">
        <w:rPr>
          <w:rFonts w:hint="eastAsia"/>
          <w:lang w:eastAsia="zh-CN"/>
        </w:rPr>
        <w:t>制定的标准在弥合道路安全鸿沟方面的重要性</w:t>
      </w:r>
      <w:r w:rsidR="0016377E">
        <w:rPr>
          <w:rFonts w:hint="eastAsia"/>
          <w:lang w:eastAsia="zh-CN"/>
        </w:rPr>
        <w:t>。</w:t>
      </w:r>
    </w:p>
    <w:p w14:paraId="54DFFB8E" w14:textId="02BCDF56" w:rsidR="0016377E" w:rsidRPr="0010293E" w:rsidRDefault="00B4110B" w:rsidP="0016377E">
      <w:pPr>
        <w:pStyle w:val="enumlev1"/>
        <w:rPr>
          <w:lang w:eastAsia="zh-CN"/>
        </w:rPr>
      </w:pPr>
      <w:r w:rsidRPr="00FB160B">
        <w:rPr>
          <w:sz w:val="28"/>
          <w:szCs w:val="28"/>
          <w:lang w:eastAsia="zh-CN"/>
        </w:rPr>
        <w:t>▪</w:t>
      </w:r>
      <w:r w:rsidR="0016377E">
        <w:rPr>
          <w:lang w:eastAsia="zh-CN"/>
        </w:rPr>
        <w:tab/>
      </w:r>
      <w:r w:rsidR="0016377E">
        <w:rPr>
          <w:rFonts w:hint="eastAsia"/>
          <w:lang w:eastAsia="zh-CN"/>
        </w:rPr>
        <w:t>鼓励国际电联在</w:t>
      </w:r>
      <w:r w:rsidR="0016377E" w:rsidRPr="0010293E">
        <w:rPr>
          <w:rFonts w:hint="eastAsia"/>
          <w:lang w:eastAsia="zh-CN"/>
        </w:rPr>
        <w:t>自动驾驶车辆部署</w:t>
      </w:r>
      <w:r w:rsidR="0016377E">
        <w:rPr>
          <w:rFonts w:hint="eastAsia"/>
          <w:lang w:eastAsia="zh-CN"/>
        </w:rPr>
        <w:t>的电信和连通性领域</w:t>
      </w:r>
      <w:r w:rsidR="0016377E" w:rsidRPr="0010293E">
        <w:rPr>
          <w:rFonts w:hint="eastAsia"/>
          <w:lang w:eastAsia="zh-CN"/>
        </w:rPr>
        <w:t>提供</w:t>
      </w:r>
      <w:r w:rsidR="0016377E">
        <w:rPr>
          <w:rFonts w:hint="eastAsia"/>
          <w:lang w:eastAsia="zh-CN"/>
        </w:rPr>
        <w:t>更多的</w:t>
      </w:r>
      <w:r w:rsidR="0016377E" w:rsidRPr="0010293E">
        <w:rPr>
          <w:rFonts w:hint="eastAsia"/>
          <w:lang w:eastAsia="zh-CN"/>
        </w:rPr>
        <w:t>电信指导，</w:t>
      </w:r>
      <w:r w:rsidR="0016377E">
        <w:rPr>
          <w:rFonts w:hint="eastAsia"/>
          <w:lang w:eastAsia="zh-CN"/>
        </w:rPr>
        <w:t>并在此方面</w:t>
      </w:r>
      <w:r w:rsidR="0016377E" w:rsidRPr="0010293E">
        <w:rPr>
          <w:rFonts w:hint="eastAsia"/>
          <w:lang w:eastAsia="zh-CN"/>
        </w:rPr>
        <w:t>鼓励</w:t>
      </w:r>
      <w:hyperlink r:id="rId19" w:history="1">
        <w:r w:rsidR="0016377E" w:rsidRPr="0010293E">
          <w:rPr>
            <w:rStyle w:val="Hyperlink"/>
            <w:rFonts w:ascii="Calibri" w:hAnsi="Calibri" w:cs="Calibri" w:hint="eastAsia"/>
            <w:lang w:eastAsia="zh-CN"/>
          </w:rPr>
          <w:t>国际电联人工智能促进自动驾驶和辅助驾驶焦点组</w:t>
        </w:r>
        <w:r w:rsidR="0016377E" w:rsidRPr="00575116">
          <w:rPr>
            <w:rStyle w:val="Hyperlink"/>
            <w:lang w:eastAsia="zh-CN"/>
          </w:rPr>
          <w:t>（</w:t>
        </w:r>
        <w:r w:rsidR="0016377E" w:rsidRPr="00575116">
          <w:rPr>
            <w:rStyle w:val="Hyperlink"/>
            <w:lang w:eastAsia="zh-CN"/>
          </w:rPr>
          <w:t>FG-AI4AD</w:t>
        </w:r>
        <w:r w:rsidR="0016377E" w:rsidRPr="00575116">
          <w:rPr>
            <w:rStyle w:val="Hyperlink"/>
            <w:lang w:eastAsia="zh-CN"/>
          </w:rPr>
          <w:t>）</w:t>
        </w:r>
      </w:hyperlink>
      <w:r w:rsidR="0016377E" w:rsidRPr="0010293E">
        <w:rPr>
          <w:rFonts w:hint="eastAsia"/>
          <w:lang w:eastAsia="zh-CN"/>
        </w:rPr>
        <w:t>正在开展的预标准化工作，</w:t>
      </w:r>
      <w:r w:rsidR="0016377E" w:rsidRPr="00E90498">
        <w:rPr>
          <w:rFonts w:hint="eastAsia"/>
          <w:lang w:eastAsia="zh-CN"/>
        </w:rPr>
        <w:t>以确保人工智能在道路上的表现达到或超过有责任心的人类驾驶员的表现。</w:t>
      </w:r>
    </w:p>
    <w:bookmarkEnd w:id="2"/>
    <w:p w14:paraId="2FC262DC" w14:textId="77777777" w:rsidR="0016377E" w:rsidRPr="0010293E" w:rsidRDefault="0016377E" w:rsidP="0016377E">
      <w:pPr>
        <w:pStyle w:val="Heading2"/>
        <w:rPr>
          <w:lang w:eastAsia="zh-CN"/>
        </w:rPr>
      </w:pPr>
      <w:r w:rsidRPr="0010293E">
        <w:rPr>
          <w:lang w:eastAsia="zh-CN"/>
        </w:rPr>
        <w:t>2.6</w:t>
      </w:r>
      <w:r w:rsidRPr="0010293E">
        <w:rPr>
          <w:lang w:eastAsia="zh-CN"/>
        </w:rPr>
        <w:tab/>
      </w:r>
      <w:r w:rsidRPr="0010293E">
        <w:rPr>
          <w:rFonts w:hint="eastAsia"/>
          <w:lang w:eastAsia="zh-CN"/>
        </w:rPr>
        <w:t>数字医疗技术促进公平获得医疗保健服务</w:t>
      </w:r>
    </w:p>
    <w:p w14:paraId="4F575774" w14:textId="77777777" w:rsidR="0016377E" w:rsidRDefault="0016377E" w:rsidP="0016377E">
      <w:pPr>
        <w:shd w:val="clear" w:color="auto" w:fill="FFFFFF" w:themeFill="background1"/>
        <w:rPr>
          <w:rFonts w:eastAsia="STKaiti" w:cstheme="minorHAnsi"/>
          <w:iCs/>
          <w:bdr w:val="none" w:sz="0" w:space="0" w:color="auto" w:frame="1"/>
          <w:lang w:eastAsia="zh-CN"/>
        </w:rPr>
      </w:pPr>
      <w:r w:rsidRPr="00F7151F">
        <w:rPr>
          <w:rFonts w:eastAsia="STKaiti" w:cstheme="minorHAnsi"/>
          <w:iCs/>
          <w:bdr w:val="none" w:sz="0" w:space="0" w:color="auto" w:frame="1"/>
          <w:lang w:eastAsia="zh-CN"/>
        </w:rPr>
        <w:t>GSS-20</w:t>
      </w:r>
    </w:p>
    <w:p w14:paraId="64C2EC8F" w14:textId="687BF115" w:rsidR="0016377E" w:rsidRPr="00F7151F" w:rsidRDefault="0016377E" w:rsidP="0016377E">
      <w:pPr>
        <w:shd w:val="clear" w:color="auto" w:fill="FFFFFF" w:themeFill="background1"/>
        <w:rPr>
          <w:rFonts w:eastAsia="STKaiti" w:cstheme="minorHAnsi"/>
          <w:iCs/>
          <w:bdr w:val="none" w:sz="0" w:space="0" w:color="auto" w:frame="1"/>
          <w:lang w:eastAsia="zh-CN"/>
        </w:rPr>
      </w:pPr>
      <w:r w:rsidRPr="00F7151F">
        <w:rPr>
          <w:rFonts w:eastAsia="STKaiti" w:cstheme="minorHAnsi"/>
          <w:iCs/>
          <w:bdr w:val="none" w:sz="0" w:space="0" w:color="auto" w:frame="1"/>
          <w:lang w:eastAsia="zh-CN"/>
        </w:rPr>
        <w:t>注意到数字卫生系统有可能从根本上改变老年人</w:t>
      </w:r>
      <w:r>
        <w:rPr>
          <w:rFonts w:eastAsia="STKaiti" w:cstheme="minorHAnsi" w:hint="eastAsia"/>
          <w:iCs/>
          <w:bdr w:val="none" w:sz="0" w:space="0" w:color="auto" w:frame="1"/>
          <w:lang w:eastAsia="zh-CN"/>
        </w:rPr>
        <w:t>、贫困和农村社区人口</w:t>
      </w:r>
      <w:r w:rsidRPr="00F7151F">
        <w:rPr>
          <w:rFonts w:eastAsia="STKaiti" w:cstheme="minorHAnsi"/>
          <w:iCs/>
          <w:bdr w:val="none" w:sz="0" w:space="0" w:color="auto" w:frame="1"/>
          <w:lang w:eastAsia="zh-CN"/>
        </w:rPr>
        <w:t>的医疗保健服务，并使患者和医疗保健提供者能够为所有人提供更好的护理并改善治疗，特别是在全球突发卫生事件期间，</w:t>
      </w:r>
      <w:r>
        <w:rPr>
          <w:rFonts w:eastAsia="STKaiti" w:cstheme="minorHAnsi" w:hint="eastAsia"/>
          <w:iCs/>
          <w:bdr w:val="none" w:sz="0" w:space="0" w:color="auto" w:frame="1"/>
          <w:lang w:eastAsia="zh-CN"/>
        </w:rPr>
        <w:t>并针对脆弱人群和遇险情况</w:t>
      </w:r>
      <w:r w:rsidR="00C95110">
        <w:rPr>
          <w:rFonts w:eastAsia="STKaiti" w:cstheme="minorHAnsi" w:hint="eastAsia"/>
          <w:iCs/>
          <w:bdr w:val="none" w:sz="0" w:space="0" w:color="auto" w:frame="1"/>
          <w:lang w:eastAsia="zh-CN"/>
        </w:rPr>
        <w:t>，</w:t>
      </w:r>
    </w:p>
    <w:p w14:paraId="24FA079D" w14:textId="4ACD020C" w:rsidR="0016377E" w:rsidRPr="0010293E" w:rsidRDefault="00FB160B" w:rsidP="0016377E">
      <w:pPr>
        <w:pStyle w:val="enumlev1"/>
        <w:rPr>
          <w:lang w:eastAsia="zh-CN"/>
        </w:rPr>
      </w:pPr>
      <w:r w:rsidRPr="00FB160B">
        <w:rPr>
          <w:sz w:val="28"/>
          <w:szCs w:val="28"/>
          <w:lang w:eastAsia="zh-CN"/>
        </w:rPr>
        <w:t>▪</w:t>
      </w:r>
      <w:r w:rsidR="0016377E" w:rsidRPr="0010293E">
        <w:rPr>
          <w:lang w:eastAsia="zh-CN"/>
        </w:rPr>
        <w:tab/>
      </w:r>
      <w:r w:rsidR="0016377E" w:rsidRPr="0010293E">
        <w:rPr>
          <w:rFonts w:hint="eastAsia"/>
          <w:lang w:eastAsia="zh-CN"/>
        </w:rPr>
        <w:t>通过推动优质医疗保健服务和满足老年人的医疗需求和关于加速行业创新和基础设施的可持续发展目标</w:t>
      </w:r>
      <w:r w:rsidR="0016377E" w:rsidRPr="0010293E">
        <w:rPr>
          <w:rFonts w:hint="eastAsia"/>
          <w:lang w:eastAsia="zh-CN"/>
        </w:rPr>
        <w:t>9</w:t>
      </w:r>
      <w:r w:rsidR="0016377E" w:rsidRPr="0010293E">
        <w:rPr>
          <w:rFonts w:hint="eastAsia"/>
          <w:lang w:eastAsia="zh-CN"/>
        </w:rPr>
        <w:t>，加强数字技术在促进实现关于良好健康和福祉的可持续发展目标</w:t>
      </w:r>
      <w:r w:rsidR="0016377E" w:rsidRPr="0010293E">
        <w:rPr>
          <w:rFonts w:hint="eastAsia"/>
          <w:lang w:eastAsia="zh-CN"/>
        </w:rPr>
        <w:t>3</w:t>
      </w:r>
      <w:r w:rsidR="0016377E" w:rsidRPr="0010293E">
        <w:rPr>
          <w:rFonts w:hint="eastAsia"/>
          <w:lang w:eastAsia="zh-CN"/>
        </w:rPr>
        <w:t>方面的作用，同时确保可用性和从一开始就具备的无障碍获取性（由联合国《残疾人权利公约》中的通用设计原则预先确定），以提高老年人以及残疾人和有特殊需求的人对技术的接纳认可和效率。</w:t>
      </w:r>
    </w:p>
    <w:p w14:paraId="2702C776" w14:textId="168E82A5" w:rsidR="0016377E" w:rsidRPr="0010293E" w:rsidRDefault="00FB160B" w:rsidP="0016377E">
      <w:pPr>
        <w:pStyle w:val="enumlev1"/>
        <w:rPr>
          <w:lang w:eastAsia="zh-CN"/>
        </w:rPr>
      </w:pPr>
      <w:r w:rsidRPr="00FB160B">
        <w:rPr>
          <w:sz w:val="28"/>
          <w:szCs w:val="28"/>
          <w:lang w:eastAsia="zh-CN"/>
        </w:rPr>
        <w:t>▪</w:t>
      </w:r>
      <w:r w:rsidR="0016377E" w:rsidRPr="0010293E">
        <w:rPr>
          <w:lang w:eastAsia="zh-CN"/>
        </w:rPr>
        <w:tab/>
      </w:r>
      <w:r w:rsidR="0016377E" w:rsidRPr="0010293E">
        <w:rPr>
          <w:rFonts w:hint="eastAsia"/>
          <w:lang w:eastAsia="zh-CN"/>
        </w:rPr>
        <w:t>促进采用国际技术标准，例如定义无障碍远程医疗服务的用例和要求的</w:t>
      </w:r>
      <w:r w:rsidR="0016377E" w:rsidRPr="0010293E">
        <w:rPr>
          <w:rFonts w:hint="eastAsia"/>
          <w:lang w:eastAsia="zh-CN"/>
        </w:rPr>
        <w:t>ITU-T F.780.2</w:t>
      </w:r>
      <w:r w:rsidR="0016377E" w:rsidRPr="0010293E">
        <w:rPr>
          <w:rFonts w:hint="eastAsia"/>
          <w:lang w:eastAsia="zh-CN"/>
        </w:rPr>
        <w:t>建议书，以及国际电联和世卫组织关于安全收听设备和系统的联合标准</w:t>
      </w:r>
      <w:r w:rsidR="00D25B3C">
        <w:fldChar w:fldCharType="begin"/>
      </w:r>
      <w:r w:rsidR="00D25B3C">
        <w:rPr>
          <w:lang w:eastAsia="zh-CN"/>
        </w:rPr>
        <w:instrText xml:space="preserve"> HYPERLINK "https://www.itu.int/ITU-T/recommendations/rec.aspx?rec=13686" </w:instrText>
      </w:r>
      <w:r w:rsidR="00D25B3C">
        <w:fldChar w:fldCharType="separate"/>
      </w:r>
      <w:r w:rsidR="00D25B3C" w:rsidRPr="00D60B9F">
        <w:rPr>
          <w:rStyle w:val="Hyperlink"/>
          <w:lang w:eastAsia="zh-CN"/>
        </w:rPr>
        <w:t>H.870</w:t>
      </w:r>
      <w:r w:rsidR="00D25B3C">
        <w:rPr>
          <w:rStyle w:val="Hyperlink"/>
        </w:rPr>
        <w:fldChar w:fldCharType="end"/>
      </w:r>
      <w:r w:rsidR="0016377E" w:rsidRPr="0010293E">
        <w:rPr>
          <w:rFonts w:hint="eastAsia"/>
          <w:lang w:eastAsia="zh-CN"/>
        </w:rPr>
        <w:t>建议书汇集规范、评估方法、指导框架和最佳做法，以改进老年人和残疾人以及有特殊需要的人的数字医疗服务。</w:t>
      </w:r>
    </w:p>
    <w:p w14:paraId="30AAC0E7" w14:textId="42E09A5A" w:rsidR="0016377E" w:rsidRPr="0010293E" w:rsidRDefault="00FB160B" w:rsidP="0016377E">
      <w:pPr>
        <w:pStyle w:val="enumlev1"/>
        <w:rPr>
          <w:lang w:eastAsia="zh-CN"/>
        </w:rPr>
      </w:pPr>
      <w:r w:rsidRPr="00FB160B">
        <w:rPr>
          <w:sz w:val="28"/>
          <w:szCs w:val="28"/>
          <w:lang w:eastAsia="zh-CN"/>
        </w:rPr>
        <w:t>▪</w:t>
      </w:r>
      <w:r w:rsidR="0016377E" w:rsidRPr="0010293E">
        <w:rPr>
          <w:lang w:eastAsia="zh-CN"/>
        </w:rPr>
        <w:tab/>
      </w:r>
      <w:r w:rsidR="0016377E" w:rsidRPr="0010293E">
        <w:rPr>
          <w:rFonts w:hint="eastAsia"/>
          <w:lang w:eastAsia="zh-CN"/>
        </w:rPr>
        <w:t>认识到全球合作对于做出及时、相关和有效的响应至关重要，并强调全球卫生信息学标准化联合举措委员会（</w:t>
      </w:r>
      <w:r w:rsidR="0016377E" w:rsidRPr="0010293E">
        <w:rPr>
          <w:rFonts w:hint="eastAsia"/>
          <w:lang w:eastAsia="zh-CN"/>
        </w:rPr>
        <w:t>JIC</w:t>
      </w:r>
      <w:r w:rsidR="0016377E" w:rsidRPr="0010293E">
        <w:rPr>
          <w:rFonts w:hint="eastAsia"/>
          <w:lang w:eastAsia="zh-CN"/>
        </w:rPr>
        <w:t>）和</w:t>
      </w:r>
      <w:r w:rsidR="0016377E">
        <w:rPr>
          <w:lang w:eastAsia="zh-CN"/>
        </w:rPr>
        <w:fldChar w:fldCharType="begin"/>
      </w:r>
      <w:r w:rsidR="0016377E">
        <w:rPr>
          <w:lang w:eastAsia="zh-CN"/>
        </w:rPr>
        <w:instrText xml:space="preserve"> </w:instrText>
      </w:r>
      <w:r w:rsidR="0016377E">
        <w:rPr>
          <w:rFonts w:hint="eastAsia"/>
          <w:lang w:eastAsia="zh-CN"/>
        </w:rPr>
        <w:instrText>HYPERLINK "https://www.itu.int/en/ITU-T/focusgroups/ai4h/Pages/default.aspx"</w:instrText>
      </w:r>
      <w:r w:rsidR="0016377E">
        <w:rPr>
          <w:lang w:eastAsia="zh-CN"/>
        </w:rPr>
        <w:instrText xml:space="preserve"> </w:instrText>
      </w:r>
      <w:r w:rsidR="0016377E">
        <w:rPr>
          <w:lang w:eastAsia="zh-CN"/>
        </w:rPr>
        <w:fldChar w:fldCharType="separate"/>
      </w:r>
      <w:r w:rsidR="0016377E" w:rsidRPr="009F235D">
        <w:rPr>
          <w:rStyle w:val="Hyperlink"/>
          <w:rFonts w:hint="eastAsia"/>
          <w:lang w:eastAsia="zh-CN"/>
        </w:rPr>
        <w:t>国际电联</w:t>
      </w:r>
      <w:r w:rsidR="0016377E" w:rsidRPr="009F235D">
        <w:rPr>
          <w:rStyle w:val="Hyperlink"/>
          <w:rFonts w:hint="eastAsia"/>
          <w:lang w:eastAsia="zh-CN"/>
        </w:rPr>
        <w:t>/</w:t>
      </w:r>
      <w:proofErr w:type="gramStart"/>
      <w:r w:rsidR="0016377E" w:rsidRPr="009F235D">
        <w:rPr>
          <w:rStyle w:val="Hyperlink"/>
          <w:rFonts w:hint="eastAsia"/>
          <w:lang w:eastAsia="zh-CN"/>
        </w:rPr>
        <w:t>世卫组织“</w:t>
      </w:r>
      <w:proofErr w:type="gramEnd"/>
      <w:r w:rsidR="0016377E" w:rsidRPr="009F235D">
        <w:rPr>
          <w:rStyle w:val="Hyperlink"/>
          <w:rFonts w:hint="eastAsia"/>
          <w:lang w:eastAsia="zh-CN"/>
        </w:rPr>
        <w:t>人工智能促进医疗卫生发展”焦点组（</w:t>
      </w:r>
      <w:r w:rsidR="0016377E" w:rsidRPr="009F235D">
        <w:rPr>
          <w:rStyle w:val="Hyperlink"/>
          <w:rFonts w:hint="eastAsia"/>
          <w:lang w:eastAsia="zh-CN"/>
        </w:rPr>
        <w:t>FG-AI4H</w:t>
      </w:r>
      <w:r w:rsidR="0016377E" w:rsidRPr="009F235D">
        <w:rPr>
          <w:rStyle w:val="Hyperlink"/>
          <w:rFonts w:hint="eastAsia"/>
          <w:lang w:eastAsia="zh-CN"/>
        </w:rPr>
        <w:t>）</w:t>
      </w:r>
      <w:r w:rsidR="0016377E">
        <w:rPr>
          <w:lang w:eastAsia="zh-CN"/>
        </w:rPr>
        <w:fldChar w:fldCharType="end"/>
      </w:r>
      <w:r w:rsidR="0016377E" w:rsidRPr="0010293E">
        <w:rPr>
          <w:rFonts w:hint="eastAsia"/>
          <w:lang w:eastAsia="zh-CN"/>
        </w:rPr>
        <w:t>等伙伴关系平台所发挥的作用。</w:t>
      </w:r>
    </w:p>
    <w:p w14:paraId="21B718E4" w14:textId="77777777" w:rsidR="0016377E" w:rsidRPr="0010293E" w:rsidRDefault="0016377E" w:rsidP="0016377E">
      <w:pPr>
        <w:pStyle w:val="Heading2"/>
        <w:rPr>
          <w:lang w:eastAsia="zh-CN"/>
        </w:rPr>
      </w:pPr>
      <w:r w:rsidRPr="0010293E">
        <w:rPr>
          <w:lang w:eastAsia="zh-CN"/>
        </w:rPr>
        <w:t>2.7</w:t>
      </w:r>
      <w:r w:rsidRPr="0010293E">
        <w:rPr>
          <w:lang w:eastAsia="zh-CN"/>
        </w:rPr>
        <w:tab/>
      </w:r>
      <w:r w:rsidRPr="0010293E">
        <w:rPr>
          <w:rFonts w:hint="eastAsia"/>
          <w:lang w:eastAsia="zh-CN"/>
        </w:rPr>
        <w:t>通过数字化转型促进普惠金融</w:t>
      </w:r>
    </w:p>
    <w:p w14:paraId="0842946F" w14:textId="77777777" w:rsidR="0016377E" w:rsidRDefault="0016377E" w:rsidP="0016377E">
      <w:pPr>
        <w:keepNext/>
        <w:keepLines/>
        <w:rPr>
          <w:rFonts w:eastAsia="STKaiti" w:cstheme="minorHAnsi"/>
          <w:iCs/>
          <w:bdr w:val="none" w:sz="0" w:space="0" w:color="auto" w:frame="1"/>
          <w:lang w:eastAsia="zh-CN"/>
        </w:rPr>
      </w:pPr>
      <w:r w:rsidRPr="00F7151F">
        <w:rPr>
          <w:rFonts w:eastAsia="STKaiti" w:cstheme="minorHAnsi"/>
          <w:iCs/>
          <w:bdr w:val="none" w:sz="0" w:space="0" w:color="auto" w:frame="1"/>
          <w:lang w:eastAsia="zh-CN"/>
        </w:rPr>
        <w:t>GSS-20</w:t>
      </w:r>
    </w:p>
    <w:p w14:paraId="7D45233D" w14:textId="512BB8C9" w:rsidR="0016377E" w:rsidRPr="00F7151F" w:rsidRDefault="0016377E" w:rsidP="0016377E">
      <w:pPr>
        <w:keepNext/>
        <w:keepLines/>
        <w:rPr>
          <w:rFonts w:eastAsia="Times New Roman" w:cstheme="minorHAnsi"/>
          <w:lang w:eastAsia="zh-CN"/>
        </w:rPr>
      </w:pPr>
      <w:r w:rsidRPr="00F7151F">
        <w:rPr>
          <w:rFonts w:eastAsia="STKaiti" w:cstheme="minorHAnsi"/>
          <w:iCs/>
          <w:bdr w:val="none" w:sz="0" w:space="0" w:color="auto" w:frame="1"/>
          <w:lang w:eastAsia="zh-CN"/>
        </w:rPr>
        <w:t>认识到发展中国家已在借助广泛使用的信息通信技术使所有人都能获得金融服务</w:t>
      </w:r>
      <w:r w:rsidR="00714E1E">
        <w:rPr>
          <w:rFonts w:eastAsia="STKaiti" w:cstheme="minorHAnsi" w:hint="eastAsia"/>
          <w:iCs/>
          <w:bdr w:val="none" w:sz="0" w:space="0" w:color="auto" w:frame="1"/>
          <w:lang w:eastAsia="zh-CN"/>
        </w:rPr>
        <w:t>，</w:t>
      </w:r>
    </w:p>
    <w:p w14:paraId="6065CED9" w14:textId="206A3D76" w:rsidR="0016377E" w:rsidRPr="0010293E" w:rsidRDefault="00FB160B" w:rsidP="0016377E">
      <w:pPr>
        <w:pStyle w:val="enumlev1"/>
        <w:rPr>
          <w:lang w:eastAsia="zh-CN"/>
        </w:rPr>
      </w:pPr>
      <w:r w:rsidRPr="00FB160B">
        <w:rPr>
          <w:sz w:val="28"/>
          <w:szCs w:val="28"/>
          <w:lang w:eastAsia="zh-CN"/>
        </w:rPr>
        <w:t>▪</w:t>
      </w:r>
      <w:r w:rsidR="0016377E" w:rsidRPr="0010293E">
        <w:rPr>
          <w:lang w:eastAsia="zh-CN"/>
        </w:rPr>
        <w:tab/>
      </w:r>
      <w:r w:rsidR="0016377E" w:rsidRPr="0010293E">
        <w:rPr>
          <w:rFonts w:hint="eastAsia"/>
          <w:lang w:eastAsia="zh-CN"/>
        </w:rPr>
        <w:t>鼓励国际电联和其他标准制定组织支持</w:t>
      </w:r>
      <w:r w:rsidR="0016377E" w:rsidRPr="009F235D">
        <w:rPr>
          <w:rFonts w:hint="eastAsia"/>
          <w:lang w:eastAsia="zh-CN"/>
        </w:rPr>
        <w:t>普惠金融全球举措</w:t>
      </w:r>
      <w:r w:rsidR="0016377E">
        <w:rPr>
          <w:rFonts w:hint="eastAsia"/>
          <w:lang w:eastAsia="zh-CN"/>
        </w:rPr>
        <w:t>的成果并</w:t>
      </w:r>
      <w:r w:rsidR="0016377E" w:rsidRPr="0010293E">
        <w:rPr>
          <w:rFonts w:hint="eastAsia"/>
          <w:lang w:eastAsia="zh-CN"/>
        </w:rPr>
        <w:t>制定旨在降低</w:t>
      </w:r>
      <w:r w:rsidR="0016377E" w:rsidRPr="0010293E">
        <w:rPr>
          <w:rFonts w:hint="eastAsia"/>
          <w:lang w:eastAsia="zh-CN"/>
        </w:rPr>
        <w:t>ICT</w:t>
      </w:r>
      <w:r w:rsidR="0016377E" w:rsidRPr="0010293E">
        <w:rPr>
          <w:rFonts w:hint="eastAsia"/>
          <w:lang w:eastAsia="zh-CN"/>
        </w:rPr>
        <w:t>成本、增强数字基础设施复原力</w:t>
      </w:r>
      <w:r w:rsidR="0016377E">
        <w:rPr>
          <w:rFonts w:hint="eastAsia"/>
          <w:lang w:eastAsia="zh-CN"/>
        </w:rPr>
        <w:t>且支持金融交易高度</w:t>
      </w:r>
      <w:r w:rsidR="0016377E" w:rsidRPr="0010293E">
        <w:rPr>
          <w:rFonts w:hint="eastAsia"/>
          <w:lang w:eastAsia="zh-CN"/>
        </w:rPr>
        <w:t>安全</w:t>
      </w:r>
      <w:r w:rsidR="0016377E">
        <w:rPr>
          <w:rFonts w:hint="eastAsia"/>
          <w:lang w:eastAsia="zh-CN"/>
        </w:rPr>
        <w:t>性</w:t>
      </w:r>
      <w:r w:rsidR="0016377E" w:rsidRPr="0010293E">
        <w:rPr>
          <w:rFonts w:hint="eastAsia"/>
          <w:lang w:eastAsia="zh-CN"/>
        </w:rPr>
        <w:t>的</w:t>
      </w:r>
      <w:r w:rsidR="0016377E">
        <w:rPr>
          <w:rFonts w:hint="eastAsia"/>
          <w:lang w:eastAsia="zh-CN"/>
        </w:rPr>
        <w:t>技术</w:t>
      </w:r>
      <w:r w:rsidR="0016377E" w:rsidRPr="0010293E">
        <w:rPr>
          <w:rFonts w:hint="eastAsia"/>
          <w:lang w:eastAsia="zh-CN"/>
        </w:rPr>
        <w:t>标准。</w:t>
      </w:r>
    </w:p>
    <w:p w14:paraId="3CBD460E" w14:textId="31F33CE9" w:rsidR="0016377E" w:rsidRPr="0010293E" w:rsidRDefault="00FB160B" w:rsidP="0016377E">
      <w:pPr>
        <w:pStyle w:val="enumlev1"/>
        <w:rPr>
          <w:lang w:eastAsia="zh-CN"/>
        </w:rPr>
      </w:pPr>
      <w:r w:rsidRPr="00FB160B">
        <w:rPr>
          <w:sz w:val="28"/>
          <w:szCs w:val="28"/>
          <w:lang w:eastAsia="zh-CN"/>
        </w:rPr>
        <w:t>▪</w:t>
      </w:r>
      <w:r w:rsidR="0016377E" w:rsidRPr="0010293E">
        <w:rPr>
          <w:lang w:eastAsia="zh-CN"/>
        </w:rPr>
        <w:tab/>
      </w:r>
      <w:r w:rsidR="0016377E" w:rsidRPr="0010293E">
        <w:rPr>
          <w:rFonts w:hint="eastAsia"/>
          <w:lang w:eastAsia="zh-CN"/>
        </w:rPr>
        <w:t>认识到改善金融普惠和数字服务将需要各国扩大其数字公共基础设施，以及可以促进改进政府服务的数字系统，例如数字身份、数据交换和支付交付。为此，各国政府应考虑数字公共产品</w:t>
      </w:r>
      <w:r w:rsidR="0016377E">
        <w:rPr>
          <w:rFonts w:hint="eastAsia"/>
          <w:lang w:eastAsia="zh-CN"/>
        </w:rPr>
        <w:t>（如数字身份等）</w:t>
      </w:r>
      <w:r w:rsidR="0016377E" w:rsidRPr="0010293E">
        <w:rPr>
          <w:rFonts w:hint="eastAsia"/>
          <w:lang w:eastAsia="zh-CN"/>
        </w:rPr>
        <w:t>，由数字公共产品联盟管理的</w:t>
      </w:r>
      <w:r w:rsidR="004E27C3">
        <w:fldChar w:fldCharType="begin"/>
      </w:r>
      <w:r w:rsidR="004E27C3">
        <w:rPr>
          <w:lang w:eastAsia="zh-CN"/>
        </w:rPr>
        <w:instrText xml:space="preserve"> HYPERLINK "https://digitalpublicgoods.net/standard/" </w:instrText>
      </w:r>
      <w:r w:rsidR="004E27C3">
        <w:fldChar w:fldCharType="separate"/>
      </w:r>
      <w:r w:rsidR="004E27C3" w:rsidRPr="00D60B9F">
        <w:rPr>
          <w:rStyle w:val="Hyperlink"/>
          <w:lang w:eastAsia="zh-CN"/>
        </w:rPr>
        <w:t>DPG</w:t>
      </w:r>
      <w:r w:rsidR="004E27C3">
        <w:rPr>
          <w:rStyle w:val="Hyperlink"/>
          <w:rFonts w:hint="eastAsia"/>
          <w:lang w:eastAsia="zh-CN"/>
        </w:rPr>
        <w:t>标准</w:t>
      </w:r>
      <w:r w:rsidR="004E27C3">
        <w:rPr>
          <w:rStyle w:val="Hyperlink"/>
          <w:lang w:eastAsia="en-GB"/>
        </w:rPr>
        <w:fldChar w:fldCharType="end"/>
      </w:r>
      <w:r w:rsidR="0016377E" w:rsidRPr="0010293E">
        <w:rPr>
          <w:rFonts w:hint="eastAsia"/>
          <w:lang w:eastAsia="zh-CN"/>
        </w:rPr>
        <w:t>可以帮助确保这些技术安全、可靠并采纳利用数字最佳做法。</w:t>
      </w:r>
    </w:p>
    <w:p w14:paraId="44355E27" w14:textId="77777777" w:rsidR="0016377E" w:rsidRPr="0010293E" w:rsidRDefault="0016377E" w:rsidP="0016377E">
      <w:pPr>
        <w:pStyle w:val="Heading2"/>
        <w:ind w:left="784" w:hanging="784"/>
        <w:rPr>
          <w:lang w:eastAsia="zh-CN"/>
        </w:rPr>
      </w:pPr>
      <w:r w:rsidRPr="0010293E">
        <w:rPr>
          <w:lang w:eastAsia="zh-CN"/>
        </w:rPr>
        <w:t>2.8</w:t>
      </w:r>
      <w:r w:rsidRPr="0010293E">
        <w:rPr>
          <w:lang w:eastAsia="zh-CN"/>
        </w:rPr>
        <w:tab/>
      </w:r>
      <w:r w:rsidRPr="0010293E">
        <w:rPr>
          <w:rFonts w:hint="eastAsia"/>
          <w:lang w:eastAsia="zh-CN"/>
        </w:rPr>
        <w:t>标准是克服挑战和机会最大化，加速数字化转型和实现可持续发展目标的关键推动力</w:t>
      </w:r>
    </w:p>
    <w:p w14:paraId="4E69DA8E" w14:textId="2909B754" w:rsidR="0016377E" w:rsidRDefault="0016377E" w:rsidP="0016377E">
      <w:pPr>
        <w:pStyle w:val="enumlev1"/>
        <w:tabs>
          <w:tab w:val="clear" w:pos="794"/>
        </w:tabs>
        <w:ind w:left="0" w:firstLine="0"/>
        <w:rPr>
          <w:rFonts w:eastAsia="STKaiti" w:cstheme="minorHAnsi" w:hint="eastAsia"/>
          <w:iCs/>
          <w:lang w:eastAsia="zh-CN"/>
        </w:rPr>
      </w:pPr>
      <w:r w:rsidRPr="00F7151F">
        <w:rPr>
          <w:rFonts w:eastAsia="STKaiti" w:cstheme="minorHAnsi"/>
          <w:iCs/>
          <w:lang w:eastAsia="zh-CN"/>
        </w:rPr>
        <w:t>GSS-20</w:t>
      </w:r>
      <w:r w:rsidRPr="00F7151F">
        <w:rPr>
          <w:rFonts w:eastAsia="STKaiti" w:cstheme="minorHAnsi"/>
          <w:iCs/>
          <w:lang w:eastAsia="zh-CN"/>
        </w:rPr>
        <w:t>强调</w:t>
      </w:r>
    </w:p>
    <w:p w14:paraId="4DF25200" w14:textId="77777777" w:rsidR="0016377E" w:rsidRPr="00F7151F" w:rsidRDefault="0016377E" w:rsidP="0016377E">
      <w:pPr>
        <w:pStyle w:val="enumlev1"/>
        <w:tabs>
          <w:tab w:val="clear" w:pos="794"/>
        </w:tabs>
        <w:ind w:left="0" w:firstLine="0"/>
        <w:rPr>
          <w:rFonts w:eastAsia="STKaiti" w:cstheme="minorHAnsi"/>
          <w:iCs/>
          <w:lang w:eastAsia="zh-CN"/>
        </w:rPr>
      </w:pPr>
      <w:r w:rsidRPr="00F7151F">
        <w:rPr>
          <w:rFonts w:eastAsia="STKaiti" w:cstheme="minorHAnsi"/>
          <w:iCs/>
          <w:lang w:eastAsia="zh-CN"/>
        </w:rPr>
        <w:t>认识到标准在加强数字化转型和实现可持续发展目标方面发挥着关键作用，</w:t>
      </w:r>
    </w:p>
    <w:p w14:paraId="6440B0BA" w14:textId="343E6186" w:rsidR="0016377E" w:rsidRPr="0010293E" w:rsidRDefault="00FB160B" w:rsidP="0016377E">
      <w:pPr>
        <w:pStyle w:val="enumlev1"/>
        <w:rPr>
          <w:lang w:eastAsia="zh-CN"/>
        </w:rPr>
      </w:pPr>
      <w:r w:rsidRPr="00FB160B">
        <w:rPr>
          <w:sz w:val="28"/>
          <w:szCs w:val="28"/>
          <w:lang w:eastAsia="zh-CN"/>
        </w:rPr>
        <w:t>▪</w:t>
      </w:r>
      <w:r w:rsidR="0016377E" w:rsidRPr="0010293E">
        <w:rPr>
          <w:lang w:eastAsia="zh-CN"/>
        </w:rPr>
        <w:tab/>
      </w:r>
      <w:r w:rsidR="0016377E" w:rsidRPr="0010293E">
        <w:rPr>
          <w:rFonts w:ascii="STKaiti" w:eastAsia="STKaiti" w:hAnsi="STKaiti"/>
          <w:iCs/>
          <w:lang w:eastAsia="zh-CN"/>
        </w:rPr>
        <w:t xml:space="preserve"> </w:t>
      </w:r>
      <w:r w:rsidR="0016377E" w:rsidRPr="0010293E">
        <w:rPr>
          <w:rFonts w:hint="eastAsia"/>
          <w:lang w:eastAsia="zh-CN"/>
        </w:rPr>
        <w:t>敦促标准机构之间开展合作，以解决发展中国家和发达国家在获取和实施标准和框架以加速数字化转型的能力方面的差距，并通过国际电联缩小标准化工作差距（</w:t>
      </w:r>
      <w:r w:rsidR="0016377E" w:rsidRPr="0010293E">
        <w:rPr>
          <w:rFonts w:hint="eastAsia"/>
          <w:lang w:eastAsia="zh-CN"/>
        </w:rPr>
        <w:t>BSG</w:t>
      </w:r>
      <w:r w:rsidR="0016377E" w:rsidRPr="0010293E">
        <w:rPr>
          <w:rFonts w:hint="eastAsia"/>
          <w:lang w:eastAsia="zh-CN"/>
        </w:rPr>
        <w:t>）计划等工具平等参与标准的制定工作。</w:t>
      </w:r>
    </w:p>
    <w:p w14:paraId="20C8AA89" w14:textId="613D9D2C" w:rsidR="0016377E" w:rsidRPr="0010293E" w:rsidRDefault="00FB160B" w:rsidP="0016377E">
      <w:pPr>
        <w:pStyle w:val="enumlev1"/>
        <w:rPr>
          <w:lang w:eastAsia="zh-CN"/>
        </w:rPr>
      </w:pPr>
      <w:r w:rsidRPr="00FB160B">
        <w:rPr>
          <w:sz w:val="28"/>
          <w:szCs w:val="28"/>
          <w:lang w:eastAsia="zh-CN"/>
        </w:rPr>
        <w:lastRenderedPageBreak/>
        <w:t>▪</w:t>
      </w:r>
      <w:r w:rsidR="0016377E" w:rsidRPr="0010293E">
        <w:rPr>
          <w:lang w:eastAsia="zh-CN"/>
        </w:rPr>
        <w:tab/>
      </w:r>
      <w:r w:rsidR="0016377E" w:rsidRPr="0010293E">
        <w:rPr>
          <w:rFonts w:hint="eastAsia"/>
          <w:lang w:eastAsia="zh-CN"/>
        </w:rPr>
        <w:t>邀请国际电联继续发挥积极作用，促进和告知国际电联成员有关以行动为导向的标准，例如轨迹和导则，以加快其在地方、区域、国家和国际各层面的实施。</w:t>
      </w:r>
    </w:p>
    <w:p w14:paraId="4D4310E0" w14:textId="77777777" w:rsidR="0016377E" w:rsidRPr="0010293E" w:rsidRDefault="0016377E" w:rsidP="0016377E">
      <w:pPr>
        <w:pStyle w:val="Heading1"/>
        <w:rPr>
          <w:rFonts w:ascii="Calibri" w:eastAsia="Times New Roman" w:hAnsi="Calibri" w:cs="Calibri"/>
          <w:bdr w:val="none" w:sz="0" w:space="0" w:color="auto" w:frame="1"/>
          <w:lang w:eastAsia="zh-CN"/>
        </w:rPr>
      </w:pPr>
      <w:r w:rsidRPr="0010293E">
        <w:rPr>
          <w:rFonts w:hint="eastAsia"/>
          <w:bdr w:val="none" w:sz="0" w:space="0" w:color="auto" w:frame="1"/>
          <w:lang w:eastAsia="zh-CN"/>
        </w:rPr>
        <w:t>3</w:t>
      </w:r>
      <w:r w:rsidRPr="0010293E">
        <w:rPr>
          <w:bdr w:val="none" w:sz="0" w:space="0" w:color="auto" w:frame="1"/>
          <w:lang w:eastAsia="zh-CN"/>
        </w:rPr>
        <w:tab/>
      </w:r>
      <w:r w:rsidRPr="0010293E">
        <w:rPr>
          <w:rFonts w:hint="eastAsia"/>
          <w:bdr w:val="none" w:sz="0" w:space="0" w:color="auto" w:frame="1"/>
          <w:lang w:eastAsia="zh-CN"/>
        </w:rPr>
        <w:t>背景信息</w:t>
      </w:r>
    </w:p>
    <w:p w14:paraId="20EB49AD" w14:textId="5754E51F" w:rsidR="0016377E" w:rsidRPr="0010293E" w:rsidRDefault="00FB160B" w:rsidP="0016377E">
      <w:pPr>
        <w:pStyle w:val="enumlev1"/>
        <w:rPr>
          <w:lang w:eastAsia="zh-CN"/>
        </w:rPr>
      </w:pPr>
      <w:r w:rsidRPr="00FB160B">
        <w:rPr>
          <w:sz w:val="28"/>
          <w:szCs w:val="28"/>
          <w:lang w:eastAsia="zh-CN"/>
        </w:rPr>
        <w:t>▪</w:t>
      </w:r>
      <w:r w:rsidR="0016377E" w:rsidRPr="0010293E">
        <w:rPr>
          <w:lang w:eastAsia="zh-CN"/>
        </w:rPr>
        <w:tab/>
      </w:r>
      <w:r w:rsidR="0016377E" w:rsidRPr="0010293E">
        <w:rPr>
          <w:rFonts w:hint="eastAsia"/>
          <w:lang w:eastAsia="zh-CN"/>
        </w:rPr>
        <w:t>全球标准专题研讨会（</w:t>
      </w:r>
      <w:r w:rsidR="0016377E" w:rsidRPr="0010293E">
        <w:rPr>
          <w:rFonts w:hint="eastAsia"/>
          <w:lang w:eastAsia="zh-CN"/>
        </w:rPr>
        <w:t>GSS</w:t>
      </w:r>
      <w:r w:rsidR="0016377E" w:rsidRPr="0010293E">
        <w:rPr>
          <w:rFonts w:hint="eastAsia"/>
          <w:lang w:eastAsia="zh-CN"/>
        </w:rPr>
        <w:t>）提供了一个理想平台，以开展高级别标准化政策辩论，探讨信息通信技术（</w:t>
      </w:r>
      <w:r w:rsidR="0016377E" w:rsidRPr="0010293E">
        <w:rPr>
          <w:rFonts w:hint="eastAsia"/>
          <w:lang w:eastAsia="zh-CN"/>
        </w:rPr>
        <w:t>ICT</w:t>
      </w:r>
      <w:r w:rsidR="0016377E" w:rsidRPr="0010293E">
        <w:rPr>
          <w:rFonts w:hint="eastAsia"/>
          <w:lang w:eastAsia="zh-CN"/>
        </w:rPr>
        <w:t>）的发展动态以及技术标准化形势不断增强的相关影响。此前的全球标准专题研讨会分别于</w:t>
      </w:r>
      <w:r w:rsidR="0016377E" w:rsidRPr="0010293E">
        <w:rPr>
          <w:rFonts w:hint="eastAsia"/>
          <w:lang w:eastAsia="zh-CN"/>
        </w:rPr>
        <w:t>2008</w:t>
      </w:r>
      <w:r w:rsidR="0016377E" w:rsidRPr="0010293E">
        <w:rPr>
          <w:rFonts w:hint="eastAsia"/>
          <w:lang w:eastAsia="zh-CN"/>
        </w:rPr>
        <w:t>年在约翰内斯堡、</w:t>
      </w:r>
      <w:r w:rsidR="0016377E" w:rsidRPr="0010293E">
        <w:rPr>
          <w:rFonts w:hint="eastAsia"/>
          <w:lang w:eastAsia="zh-CN"/>
        </w:rPr>
        <w:t>2012</w:t>
      </w:r>
      <w:r w:rsidR="0016377E" w:rsidRPr="0010293E">
        <w:rPr>
          <w:rFonts w:hint="eastAsia"/>
          <w:lang w:eastAsia="zh-CN"/>
        </w:rPr>
        <w:t>年在迪拜和</w:t>
      </w:r>
      <w:r w:rsidR="0016377E" w:rsidRPr="0010293E">
        <w:rPr>
          <w:rFonts w:hint="eastAsia"/>
          <w:lang w:eastAsia="zh-CN"/>
        </w:rPr>
        <w:t>2016</w:t>
      </w:r>
      <w:r w:rsidR="0016377E" w:rsidRPr="0010293E">
        <w:rPr>
          <w:rFonts w:hint="eastAsia"/>
          <w:lang w:eastAsia="zh-CN"/>
        </w:rPr>
        <w:t>年在哈马马特，在国际电联四年一度的世界电信标准化全会（</w:t>
      </w:r>
      <w:r w:rsidR="0016377E" w:rsidRPr="0010293E">
        <w:rPr>
          <w:rFonts w:hint="eastAsia"/>
          <w:lang w:eastAsia="zh-CN"/>
        </w:rPr>
        <w:t>WTSA</w:t>
      </w:r>
      <w:r w:rsidR="0016377E" w:rsidRPr="0010293E">
        <w:rPr>
          <w:rFonts w:hint="eastAsia"/>
          <w:lang w:eastAsia="zh-CN"/>
        </w:rPr>
        <w:t>）之前举行。</w:t>
      </w:r>
    </w:p>
    <w:p w14:paraId="7D7645B0" w14:textId="03F1DE40" w:rsidR="0016377E" w:rsidRPr="0010293E" w:rsidRDefault="00FB160B" w:rsidP="0016377E">
      <w:pPr>
        <w:pStyle w:val="enumlev1"/>
        <w:rPr>
          <w:lang w:eastAsia="zh-CN"/>
        </w:rPr>
      </w:pPr>
      <w:r w:rsidRPr="00FB160B">
        <w:rPr>
          <w:sz w:val="28"/>
          <w:szCs w:val="28"/>
          <w:lang w:eastAsia="zh-CN"/>
        </w:rPr>
        <w:t>▪</w:t>
      </w:r>
      <w:r w:rsidR="0016377E" w:rsidRPr="0010293E">
        <w:rPr>
          <w:lang w:eastAsia="zh-CN"/>
        </w:rPr>
        <w:tab/>
        <w:t>GSS-20</w:t>
      </w:r>
      <w:r w:rsidR="0016377E" w:rsidRPr="0010293E">
        <w:rPr>
          <w:rFonts w:hint="eastAsia"/>
          <w:lang w:eastAsia="zh-CN"/>
        </w:rPr>
        <w:t>的与会者积极参与了讨论，就他们认为这些框架需要考虑的关键要素交换了意见，并强调了这些要素中的哪些要素应在下一个研究期（</w:t>
      </w:r>
      <w:r w:rsidR="0016377E" w:rsidRPr="0010293E">
        <w:rPr>
          <w:rFonts w:hint="eastAsia"/>
          <w:lang w:eastAsia="zh-CN"/>
        </w:rPr>
        <w:t>2022-2024</w:t>
      </w:r>
      <w:r w:rsidR="0016377E" w:rsidRPr="0010293E">
        <w:rPr>
          <w:rFonts w:hint="eastAsia"/>
          <w:lang w:eastAsia="zh-CN"/>
        </w:rPr>
        <w:t>年）在国际电联标准化工作中优先予以考虑。在标准化以技术为中心的背景下，这一具有里程碑意义的活动中的主要讨论涵盖了各种主题，包括智慧城市和社区、</w:t>
      </w:r>
      <w:r w:rsidR="0016377E">
        <w:rPr>
          <w:rFonts w:hint="eastAsia"/>
          <w:lang w:eastAsia="zh-CN"/>
        </w:rPr>
        <w:t>数字</w:t>
      </w:r>
      <w:r w:rsidR="0016377E" w:rsidRPr="0010293E">
        <w:rPr>
          <w:rFonts w:hint="eastAsia"/>
          <w:lang w:eastAsia="zh-CN"/>
        </w:rPr>
        <w:t>农业、数字包容、人工智能促进道路安全、自动驾驶、金融普惠、可持续性、无障碍获取性和医疗保健。</w:t>
      </w:r>
    </w:p>
    <w:p w14:paraId="3D5C7AF5" w14:textId="21883496" w:rsidR="0016377E" w:rsidRPr="0010293E" w:rsidRDefault="00FB160B" w:rsidP="0016377E">
      <w:pPr>
        <w:pStyle w:val="enumlev1"/>
        <w:rPr>
          <w:lang w:eastAsia="zh-CN"/>
        </w:rPr>
      </w:pPr>
      <w:r w:rsidRPr="00FB160B">
        <w:rPr>
          <w:sz w:val="28"/>
          <w:szCs w:val="28"/>
          <w:lang w:eastAsia="zh-CN"/>
        </w:rPr>
        <w:t>▪</w:t>
      </w:r>
      <w:r w:rsidR="0016377E" w:rsidRPr="0010293E">
        <w:rPr>
          <w:lang w:eastAsia="zh-CN"/>
        </w:rPr>
        <w:tab/>
      </w:r>
      <w:bookmarkStart w:id="3" w:name="_Hlk96687686"/>
      <w:r w:rsidR="0016377E" w:rsidRPr="0010293E">
        <w:rPr>
          <w:rFonts w:hint="eastAsia"/>
          <w:lang w:eastAsia="zh-CN"/>
        </w:rPr>
        <w:t>爱沙尼亚外交部数字事务无任所大使</w:t>
      </w:r>
      <w:r w:rsidR="0016377E" w:rsidRPr="0010293E">
        <w:rPr>
          <w:rFonts w:hint="eastAsia"/>
          <w:lang w:eastAsia="zh-CN"/>
        </w:rPr>
        <w:t xml:space="preserve">Nele </w:t>
      </w:r>
      <w:proofErr w:type="spellStart"/>
      <w:r w:rsidR="0016377E" w:rsidRPr="0010293E">
        <w:rPr>
          <w:rFonts w:hint="eastAsia"/>
          <w:lang w:eastAsia="zh-CN"/>
        </w:rPr>
        <w:t>Leosk</w:t>
      </w:r>
      <w:proofErr w:type="spellEnd"/>
      <w:r w:rsidR="0016377E" w:rsidRPr="0010293E">
        <w:rPr>
          <w:rFonts w:hint="eastAsia"/>
          <w:lang w:eastAsia="zh-CN"/>
        </w:rPr>
        <w:t>女士阁下和国际电联秘书长赵厚麟先生发表了欢迎致辞。</w:t>
      </w:r>
      <w:bookmarkEnd w:id="3"/>
      <w:r w:rsidR="0016377E" w:rsidRPr="0010293E">
        <w:rPr>
          <w:rFonts w:hint="eastAsia"/>
          <w:lang w:eastAsia="zh-CN"/>
        </w:rPr>
        <w:t>突尼斯通信技术部部长</w:t>
      </w:r>
      <w:r w:rsidR="0016377E" w:rsidRPr="0010293E">
        <w:rPr>
          <w:rFonts w:hint="eastAsia"/>
          <w:lang w:eastAsia="zh-CN"/>
        </w:rPr>
        <w:t>Nizar Ben Neji</w:t>
      </w:r>
      <w:r w:rsidR="0016377E" w:rsidRPr="0010293E">
        <w:rPr>
          <w:rFonts w:hint="eastAsia"/>
          <w:lang w:eastAsia="zh-CN"/>
        </w:rPr>
        <w:t>先生阁下；加纳通信和数字化部部长</w:t>
      </w:r>
      <w:r w:rsidR="0016377E" w:rsidRPr="0010293E">
        <w:rPr>
          <w:rFonts w:hint="eastAsia"/>
          <w:lang w:eastAsia="zh-CN"/>
        </w:rPr>
        <w:t>Ursula Owusu-</w:t>
      </w:r>
      <w:proofErr w:type="spellStart"/>
      <w:r w:rsidR="0016377E" w:rsidRPr="0010293E">
        <w:rPr>
          <w:rFonts w:hint="eastAsia"/>
          <w:lang w:eastAsia="zh-CN"/>
        </w:rPr>
        <w:t>Ekuful</w:t>
      </w:r>
      <w:proofErr w:type="spellEnd"/>
      <w:r w:rsidR="0016377E" w:rsidRPr="0010293E">
        <w:rPr>
          <w:rFonts w:hint="eastAsia"/>
          <w:lang w:eastAsia="zh-CN"/>
        </w:rPr>
        <w:t>女士阁下；</w:t>
      </w:r>
      <w:r w:rsidR="0016377E" w:rsidRPr="009F235D">
        <w:rPr>
          <w:rFonts w:hint="eastAsia"/>
          <w:lang w:eastAsia="zh-CN"/>
        </w:rPr>
        <w:t>南非（共和国）通信和数字技术部部长</w:t>
      </w:r>
      <w:proofErr w:type="spellStart"/>
      <w:r w:rsidR="0016377E" w:rsidRPr="009F235D">
        <w:rPr>
          <w:rFonts w:hint="eastAsia"/>
          <w:lang w:eastAsia="zh-CN"/>
        </w:rPr>
        <w:t>Khumbudzo</w:t>
      </w:r>
      <w:proofErr w:type="spellEnd"/>
      <w:r w:rsidR="0016377E" w:rsidRPr="009F235D">
        <w:rPr>
          <w:rFonts w:hint="eastAsia"/>
          <w:lang w:eastAsia="zh-CN"/>
        </w:rPr>
        <w:t xml:space="preserve"> </w:t>
      </w:r>
      <w:proofErr w:type="spellStart"/>
      <w:r w:rsidR="0016377E" w:rsidRPr="009F235D">
        <w:rPr>
          <w:rFonts w:hint="eastAsia"/>
          <w:lang w:eastAsia="zh-CN"/>
        </w:rPr>
        <w:t>Phophi</w:t>
      </w:r>
      <w:proofErr w:type="spellEnd"/>
      <w:r w:rsidR="0016377E" w:rsidRPr="009F235D">
        <w:rPr>
          <w:rFonts w:hint="eastAsia"/>
          <w:lang w:eastAsia="zh-CN"/>
        </w:rPr>
        <w:t xml:space="preserve"> Silence </w:t>
      </w:r>
      <w:proofErr w:type="spellStart"/>
      <w:r w:rsidR="0016377E" w:rsidRPr="009F235D">
        <w:rPr>
          <w:rFonts w:hint="eastAsia"/>
          <w:lang w:eastAsia="zh-CN"/>
        </w:rPr>
        <w:t>Ntshavheni</w:t>
      </w:r>
      <w:proofErr w:type="spellEnd"/>
      <w:r w:rsidR="0016377E" w:rsidRPr="009F235D">
        <w:rPr>
          <w:rFonts w:hint="eastAsia"/>
          <w:lang w:eastAsia="zh-CN"/>
        </w:rPr>
        <w:t>女士阁下</w:t>
      </w:r>
      <w:r w:rsidR="0016377E">
        <w:rPr>
          <w:rFonts w:hint="eastAsia"/>
          <w:lang w:eastAsia="zh-CN"/>
        </w:rPr>
        <w:t>；</w:t>
      </w:r>
      <w:r w:rsidR="0016377E" w:rsidRPr="009F235D">
        <w:rPr>
          <w:rFonts w:hint="eastAsia"/>
          <w:lang w:eastAsia="zh-CN"/>
        </w:rPr>
        <w:t>奥地利欧盟和宪法联邦部长</w:t>
      </w:r>
      <w:r w:rsidR="0016377E" w:rsidRPr="009F235D">
        <w:rPr>
          <w:rFonts w:hint="eastAsia"/>
          <w:lang w:eastAsia="zh-CN"/>
        </w:rPr>
        <w:t xml:space="preserve">Karoline </w:t>
      </w:r>
      <w:proofErr w:type="spellStart"/>
      <w:r w:rsidR="0016377E" w:rsidRPr="009F235D">
        <w:rPr>
          <w:rFonts w:hint="eastAsia"/>
          <w:lang w:eastAsia="zh-CN"/>
        </w:rPr>
        <w:t>Edtstadler</w:t>
      </w:r>
      <w:proofErr w:type="spellEnd"/>
      <w:r w:rsidR="0016377E" w:rsidRPr="009F235D">
        <w:rPr>
          <w:rFonts w:hint="eastAsia"/>
          <w:lang w:eastAsia="zh-CN"/>
        </w:rPr>
        <w:t>女士阁下</w:t>
      </w:r>
      <w:r w:rsidR="0016377E" w:rsidRPr="0010293E">
        <w:rPr>
          <w:rFonts w:hint="eastAsia"/>
          <w:lang w:eastAsia="zh-CN"/>
        </w:rPr>
        <w:t>；哥斯达黎加科技和电信部（</w:t>
      </w:r>
      <w:r w:rsidR="0016377E" w:rsidRPr="0010293E">
        <w:rPr>
          <w:rFonts w:hint="eastAsia"/>
          <w:lang w:eastAsia="zh-CN"/>
        </w:rPr>
        <w:t>MICITT</w:t>
      </w:r>
      <w:r w:rsidR="0016377E" w:rsidRPr="0010293E">
        <w:rPr>
          <w:rFonts w:hint="eastAsia"/>
          <w:lang w:eastAsia="zh-CN"/>
        </w:rPr>
        <w:t>）电信副部长</w:t>
      </w:r>
      <w:r w:rsidR="0016377E" w:rsidRPr="0010293E">
        <w:rPr>
          <w:rFonts w:hint="eastAsia"/>
          <w:lang w:eastAsia="zh-CN"/>
        </w:rPr>
        <w:t>Teodoro Willink</w:t>
      </w:r>
      <w:r w:rsidR="0016377E" w:rsidRPr="0010293E">
        <w:rPr>
          <w:rFonts w:hint="eastAsia"/>
          <w:lang w:eastAsia="zh-CN"/>
        </w:rPr>
        <w:t>先生阁下；联合国道路安全特使</w:t>
      </w:r>
      <w:r w:rsidR="0016377E" w:rsidRPr="0010293E">
        <w:rPr>
          <w:lang w:eastAsia="zh-CN"/>
        </w:rPr>
        <w:t>Jean Todt</w:t>
      </w:r>
      <w:r w:rsidR="0016377E" w:rsidRPr="0010293E">
        <w:rPr>
          <w:rFonts w:hint="eastAsia"/>
          <w:lang w:eastAsia="zh-CN"/>
        </w:rPr>
        <w:t>先生；</w:t>
      </w:r>
      <w:r w:rsidR="0016377E" w:rsidRPr="005576BB">
        <w:rPr>
          <w:rFonts w:hint="eastAsia"/>
          <w:lang w:eastAsia="zh-CN"/>
        </w:rPr>
        <w:t>Exponential Destiny</w:t>
      </w:r>
      <w:r w:rsidR="0016377E" w:rsidRPr="005576BB">
        <w:rPr>
          <w:rFonts w:hint="eastAsia"/>
          <w:lang w:eastAsia="zh-CN"/>
        </w:rPr>
        <w:t>首席执行官</w:t>
      </w:r>
      <w:r w:rsidR="0016377E" w:rsidRPr="005576BB">
        <w:rPr>
          <w:rFonts w:hint="eastAsia"/>
          <w:lang w:eastAsia="zh-CN"/>
        </w:rPr>
        <w:t>Marcus Shingles</w:t>
      </w:r>
      <w:r w:rsidR="0016377E" w:rsidRPr="005576BB">
        <w:rPr>
          <w:rFonts w:hint="eastAsia"/>
          <w:lang w:eastAsia="zh-CN"/>
        </w:rPr>
        <w:t>先生和数字迪拜战略规划顾问</w:t>
      </w:r>
      <w:r w:rsidR="0016377E" w:rsidRPr="005576BB">
        <w:rPr>
          <w:rFonts w:hint="eastAsia"/>
          <w:lang w:eastAsia="zh-CN"/>
        </w:rPr>
        <w:t>Okan Geray</w:t>
      </w:r>
      <w:r w:rsidR="0016377E" w:rsidRPr="005576BB">
        <w:rPr>
          <w:rFonts w:hint="eastAsia"/>
          <w:lang w:eastAsia="zh-CN"/>
        </w:rPr>
        <w:t>先生</w:t>
      </w:r>
      <w:r w:rsidR="0016377E" w:rsidRPr="0010293E">
        <w:rPr>
          <w:rFonts w:hint="eastAsia"/>
          <w:lang w:eastAsia="zh-CN"/>
        </w:rPr>
        <w:t>等在</w:t>
      </w:r>
      <w:r w:rsidR="0016377E" w:rsidRPr="0010293E">
        <w:rPr>
          <w:rFonts w:hint="eastAsia"/>
          <w:lang w:eastAsia="zh-CN"/>
        </w:rPr>
        <w:t>GSS-20</w:t>
      </w:r>
      <w:r w:rsidR="0016377E" w:rsidRPr="0010293E">
        <w:rPr>
          <w:rFonts w:hint="eastAsia"/>
          <w:lang w:eastAsia="zh-CN"/>
        </w:rPr>
        <w:t>期间发表了一系列主题演讲。</w:t>
      </w:r>
    </w:p>
    <w:p w14:paraId="1FE5D2F6" w14:textId="6CA928D4" w:rsidR="0016377E" w:rsidRPr="0010293E" w:rsidRDefault="00FB160B" w:rsidP="0016377E">
      <w:pPr>
        <w:pStyle w:val="enumlev1"/>
        <w:rPr>
          <w:lang w:eastAsia="zh-CN"/>
        </w:rPr>
      </w:pPr>
      <w:r w:rsidRPr="00FB160B">
        <w:rPr>
          <w:sz w:val="28"/>
          <w:szCs w:val="28"/>
          <w:lang w:eastAsia="zh-CN"/>
        </w:rPr>
        <w:t>▪</w:t>
      </w:r>
      <w:r w:rsidR="0016377E" w:rsidRPr="0010293E">
        <w:rPr>
          <w:lang w:eastAsia="zh-CN"/>
        </w:rPr>
        <w:tab/>
      </w:r>
      <w:proofErr w:type="gramStart"/>
      <w:r w:rsidR="0016377E" w:rsidRPr="0010293E">
        <w:rPr>
          <w:rFonts w:hint="eastAsia"/>
          <w:lang w:eastAsia="zh-CN"/>
        </w:rPr>
        <w:t>专题研讨会包括以“</w:t>
      </w:r>
      <w:proofErr w:type="gramEnd"/>
      <w:r w:rsidR="0016377E" w:rsidRPr="0010293E">
        <w:rPr>
          <w:rFonts w:hint="eastAsia"/>
          <w:lang w:eastAsia="zh-CN"/>
        </w:rPr>
        <w:t>国际标准推动数字化转型和实现可持续发展目标”为主题的七场专题会议以及与相关城市联合举行的</w:t>
      </w:r>
      <w:r w:rsidR="0016377E" w:rsidRPr="0010293E">
        <w:rPr>
          <w:rFonts w:hint="eastAsia"/>
          <w:lang w:eastAsia="zh-CN"/>
        </w:rPr>
        <w:t>U4SSC</w:t>
      </w:r>
      <w:r w:rsidR="0016377E" w:rsidRPr="0010293E">
        <w:rPr>
          <w:rFonts w:hint="eastAsia"/>
          <w:lang w:eastAsia="zh-CN"/>
        </w:rPr>
        <w:t>庆祝仪式。</w:t>
      </w:r>
    </w:p>
    <w:p w14:paraId="788306FA" w14:textId="77777777" w:rsidR="002B5881" w:rsidRDefault="002B5881" w:rsidP="002B5881"/>
    <w:p w14:paraId="55AF9D14" w14:textId="77777777" w:rsidR="002B5881" w:rsidRDefault="002B5881">
      <w:pPr>
        <w:jc w:val="center"/>
      </w:pPr>
      <w:r>
        <w:t>______________</w:t>
      </w:r>
    </w:p>
    <w:sectPr w:rsidR="002B5881" w:rsidSect="00BD7C7C">
      <w:headerReference w:type="default" r:id="rId20"/>
      <w:footerReference w:type="default" r:id="rId21"/>
      <w:footerReference w:type="first" r:id="rId22"/>
      <w:pgSz w:w="11907" w:h="16834"/>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C3E3" w14:textId="77777777" w:rsidR="00DD2455" w:rsidRDefault="00DD2455">
      <w:r>
        <w:separator/>
      </w:r>
    </w:p>
  </w:endnote>
  <w:endnote w:type="continuationSeparator" w:id="0">
    <w:p w14:paraId="4810CFE2"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97011055"/>
  <w:bookmarkStart w:id="5" w:name="_Hlk97011056"/>
  <w:p w14:paraId="6C7FA757" w14:textId="0B201033" w:rsidR="00B851D4" w:rsidRPr="004C4360" w:rsidRDefault="00B851D4" w:rsidP="00231452">
    <w:pPr>
      <w:pStyle w:val="Footer"/>
      <w:rPr>
        <w:lang w:val="fr-CH"/>
      </w:rPr>
    </w:pPr>
    <w:r>
      <w:fldChar w:fldCharType="begin"/>
    </w:r>
    <w:r w:rsidRPr="004C4360">
      <w:rPr>
        <w:lang w:val="fr-CH"/>
      </w:rPr>
      <w:instrText xml:space="preserve"> FILENAME \p \* MERGEFORMAT </w:instrText>
    </w:r>
    <w:r>
      <w:fldChar w:fldCharType="separate"/>
    </w:r>
    <w:r w:rsidR="00B61938">
      <w:rPr>
        <w:lang w:val="fr-CH"/>
      </w:rPr>
      <w:t>P:\CHI\ITU-T\CONF-T\WTSA20\000\043C.docx</w:t>
    </w:r>
    <w:r>
      <w:fldChar w:fldCharType="end"/>
    </w:r>
    <w:r w:rsidR="004C4360" w:rsidRPr="004C4360">
      <w:rPr>
        <w:lang w:val="fr-CH"/>
      </w:rPr>
      <w:t xml:space="preserve"> </w:t>
    </w:r>
    <w:r w:rsidR="004C4360">
      <w:rPr>
        <w:lang w:val="fr-CH"/>
      </w:rPr>
      <w:t>(501068)</w:t>
    </w:r>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B8A2" w14:textId="1A6DF855" w:rsidR="004C4360" w:rsidRPr="004C4360" w:rsidRDefault="004C4360" w:rsidP="004C4360">
    <w:pPr>
      <w:pStyle w:val="Footer"/>
      <w:rPr>
        <w:lang w:val="fr-CH"/>
      </w:rPr>
    </w:pPr>
    <w:r>
      <w:fldChar w:fldCharType="begin"/>
    </w:r>
    <w:r w:rsidRPr="004C4360">
      <w:rPr>
        <w:lang w:val="fr-CH"/>
      </w:rPr>
      <w:instrText xml:space="preserve"> FILENAME \p \* MERGEFORMAT </w:instrText>
    </w:r>
    <w:r>
      <w:fldChar w:fldCharType="separate"/>
    </w:r>
    <w:r w:rsidR="00B61938">
      <w:rPr>
        <w:lang w:val="fr-CH"/>
      </w:rPr>
      <w:t>P:\CHI\ITU-T\CONF-T\WTSA20\000\043C.docx</w:t>
    </w:r>
    <w:r>
      <w:fldChar w:fldCharType="end"/>
    </w:r>
    <w:r w:rsidRPr="004C4360">
      <w:rPr>
        <w:lang w:val="fr-CH"/>
      </w:rPr>
      <w:t xml:space="preserve"> </w:t>
    </w:r>
    <w:r>
      <w:rPr>
        <w:lang w:val="fr-CH"/>
      </w:rPr>
      <w:t>(501068)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9180" w14:textId="77777777" w:rsidR="00DD2455" w:rsidRDefault="00DD2455">
      <w:r>
        <w:t>____________________</w:t>
      </w:r>
    </w:p>
  </w:footnote>
  <w:footnote w:type="continuationSeparator" w:id="0">
    <w:p w14:paraId="1323ABBE" w14:textId="77777777" w:rsidR="00DD2455" w:rsidRDefault="00DD2455">
      <w:r>
        <w:continuationSeparator/>
      </w:r>
    </w:p>
  </w:footnote>
  <w:footnote w:id="1">
    <w:p w14:paraId="6BB8FED4" w14:textId="77777777" w:rsidR="0016377E" w:rsidRDefault="0016377E" w:rsidP="0016377E">
      <w:pPr>
        <w:pStyle w:val="FootnoteText"/>
        <w:tabs>
          <w:tab w:val="left" w:pos="284"/>
        </w:tabs>
        <w:ind w:left="284" w:hanging="284"/>
        <w:rPr>
          <w:lang w:eastAsia="zh-CN"/>
        </w:rPr>
      </w:pPr>
      <w:r>
        <w:rPr>
          <w:rStyle w:val="FootnoteReference"/>
        </w:rPr>
        <w:footnoteRef/>
      </w:r>
      <w:r>
        <w:rPr>
          <w:lang w:eastAsia="zh-CN"/>
        </w:rPr>
        <w:tab/>
      </w:r>
      <w:r w:rsidRPr="00210263">
        <w:rPr>
          <w:rFonts w:hint="eastAsia"/>
          <w:lang w:eastAsia="zh-CN"/>
        </w:rPr>
        <w:t>该标准正在大</w:t>
      </w:r>
      <w:proofErr w:type="gramStart"/>
      <w:r w:rsidRPr="00210263">
        <w:rPr>
          <w:rFonts w:hint="eastAsia"/>
          <w:lang w:eastAsia="zh-CN"/>
        </w:rPr>
        <w:t>邱</w:t>
      </w:r>
      <w:proofErr w:type="gramEnd"/>
      <w:r w:rsidRPr="00210263">
        <w:rPr>
          <w:rFonts w:hint="eastAsia"/>
          <w:lang w:eastAsia="zh-CN"/>
        </w:rPr>
        <w:t>、马什哈德、比塞大、迪拜、新加坡、利雅得和瓦伦西亚</w:t>
      </w:r>
      <w:r>
        <w:rPr>
          <w:rFonts w:hint="eastAsia"/>
          <w:lang w:eastAsia="zh-CN"/>
        </w:rPr>
        <w:t>等</w:t>
      </w:r>
      <w:r w:rsidRPr="00210263">
        <w:rPr>
          <w:rFonts w:hint="eastAsia"/>
          <w:lang w:eastAsia="zh-CN"/>
        </w:rPr>
        <w:t>全球</w:t>
      </w:r>
      <w:r w:rsidRPr="00210263">
        <w:rPr>
          <w:rFonts w:hint="eastAsia"/>
          <w:lang w:eastAsia="zh-CN"/>
        </w:rPr>
        <w:t>150</w:t>
      </w:r>
      <w:r w:rsidRPr="00210263">
        <w:rPr>
          <w:rFonts w:hint="eastAsia"/>
          <w:lang w:eastAsia="zh-CN"/>
        </w:rPr>
        <w:t>多个城市实施</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FFC3"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6B4CC855" w14:textId="4A5FBFDC"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444122">
      <w:rPr>
        <w:rFonts w:hint="eastAsia"/>
        <w:noProof/>
        <w:lang w:val="en-US"/>
      </w:rPr>
      <w:t>文件</w:t>
    </w:r>
    <w:r w:rsidR="00444122">
      <w:rPr>
        <w:rFonts w:hint="eastAsia"/>
        <w:noProof/>
        <w:lang w:val="en-US"/>
      </w:rPr>
      <w:t xml:space="preserve"> 43-C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32E6"/>
    <w:rsid w:val="00037C90"/>
    <w:rsid w:val="00055EE6"/>
    <w:rsid w:val="0006539C"/>
    <w:rsid w:val="00081F9B"/>
    <w:rsid w:val="00083A44"/>
    <w:rsid w:val="000A3B30"/>
    <w:rsid w:val="000B3D34"/>
    <w:rsid w:val="000C09BA"/>
    <w:rsid w:val="000C1F1E"/>
    <w:rsid w:val="000C6AA7"/>
    <w:rsid w:val="000C75E4"/>
    <w:rsid w:val="000E26F6"/>
    <w:rsid w:val="000F4931"/>
    <w:rsid w:val="00123B64"/>
    <w:rsid w:val="00157B96"/>
    <w:rsid w:val="0016377E"/>
    <w:rsid w:val="00166859"/>
    <w:rsid w:val="001765EC"/>
    <w:rsid w:val="001853E8"/>
    <w:rsid w:val="001904F7"/>
    <w:rsid w:val="001B6360"/>
    <w:rsid w:val="001F4EA6"/>
    <w:rsid w:val="00205655"/>
    <w:rsid w:val="00214959"/>
    <w:rsid w:val="002236A0"/>
    <w:rsid w:val="00231452"/>
    <w:rsid w:val="002426F1"/>
    <w:rsid w:val="00246C4C"/>
    <w:rsid w:val="00250D5C"/>
    <w:rsid w:val="00273228"/>
    <w:rsid w:val="0028063B"/>
    <w:rsid w:val="002A4C9C"/>
    <w:rsid w:val="002B509B"/>
    <w:rsid w:val="002B5881"/>
    <w:rsid w:val="002D162B"/>
    <w:rsid w:val="002D625E"/>
    <w:rsid w:val="002E2A59"/>
    <w:rsid w:val="002F5D57"/>
    <w:rsid w:val="00305254"/>
    <w:rsid w:val="00306C63"/>
    <w:rsid w:val="0030785C"/>
    <w:rsid w:val="003169D2"/>
    <w:rsid w:val="00342973"/>
    <w:rsid w:val="003468CA"/>
    <w:rsid w:val="003556C0"/>
    <w:rsid w:val="00372FC2"/>
    <w:rsid w:val="003A69EA"/>
    <w:rsid w:val="003B4BEF"/>
    <w:rsid w:val="003C6B45"/>
    <w:rsid w:val="003F0C01"/>
    <w:rsid w:val="00400909"/>
    <w:rsid w:val="00406119"/>
    <w:rsid w:val="0041282E"/>
    <w:rsid w:val="004128C7"/>
    <w:rsid w:val="00437869"/>
    <w:rsid w:val="00444122"/>
    <w:rsid w:val="00465A34"/>
    <w:rsid w:val="004913CE"/>
    <w:rsid w:val="004B2DBE"/>
    <w:rsid w:val="004C4360"/>
    <w:rsid w:val="004C4554"/>
    <w:rsid w:val="004D04A4"/>
    <w:rsid w:val="004D2DEC"/>
    <w:rsid w:val="004E27C3"/>
    <w:rsid w:val="004F2BE6"/>
    <w:rsid w:val="00502B2E"/>
    <w:rsid w:val="00524E4B"/>
    <w:rsid w:val="00527E8A"/>
    <w:rsid w:val="00534930"/>
    <w:rsid w:val="00536193"/>
    <w:rsid w:val="00542E85"/>
    <w:rsid w:val="005579BD"/>
    <w:rsid w:val="00562479"/>
    <w:rsid w:val="00575116"/>
    <w:rsid w:val="00576849"/>
    <w:rsid w:val="005A0ACB"/>
    <w:rsid w:val="005C7B12"/>
    <w:rsid w:val="005E7FD8"/>
    <w:rsid w:val="006111B1"/>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14E1E"/>
    <w:rsid w:val="00736415"/>
    <w:rsid w:val="00764C59"/>
    <w:rsid w:val="00770D2A"/>
    <w:rsid w:val="00775B71"/>
    <w:rsid w:val="007864F6"/>
    <w:rsid w:val="007A1828"/>
    <w:rsid w:val="007B7C4B"/>
    <w:rsid w:val="007F0FC5"/>
    <w:rsid w:val="007F1339"/>
    <w:rsid w:val="007F3CAB"/>
    <w:rsid w:val="007F5C36"/>
    <w:rsid w:val="008047DB"/>
    <w:rsid w:val="008129A9"/>
    <w:rsid w:val="00820712"/>
    <w:rsid w:val="008221A4"/>
    <w:rsid w:val="00823556"/>
    <w:rsid w:val="0082361D"/>
    <w:rsid w:val="00824BD6"/>
    <w:rsid w:val="00826810"/>
    <w:rsid w:val="00834C5C"/>
    <w:rsid w:val="0083672D"/>
    <w:rsid w:val="00844734"/>
    <w:rsid w:val="00857FA1"/>
    <w:rsid w:val="00865DFB"/>
    <w:rsid w:val="008A7416"/>
    <w:rsid w:val="008B6852"/>
    <w:rsid w:val="008C1706"/>
    <w:rsid w:val="008C26FF"/>
    <w:rsid w:val="008C7186"/>
    <w:rsid w:val="008D1D14"/>
    <w:rsid w:val="008E1785"/>
    <w:rsid w:val="008E7127"/>
    <w:rsid w:val="008E7C8E"/>
    <w:rsid w:val="00910E1A"/>
    <w:rsid w:val="00912959"/>
    <w:rsid w:val="00915736"/>
    <w:rsid w:val="0092075B"/>
    <w:rsid w:val="009657F9"/>
    <w:rsid w:val="009759FE"/>
    <w:rsid w:val="0099525B"/>
    <w:rsid w:val="009A60BD"/>
    <w:rsid w:val="009B55F4"/>
    <w:rsid w:val="009C72B7"/>
    <w:rsid w:val="009D164C"/>
    <w:rsid w:val="00A0052C"/>
    <w:rsid w:val="00A06370"/>
    <w:rsid w:val="00A16B3A"/>
    <w:rsid w:val="00A17BD2"/>
    <w:rsid w:val="00A204E0"/>
    <w:rsid w:val="00A31B14"/>
    <w:rsid w:val="00A323DC"/>
    <w:rsid w:val="00A815BE"/>
    <w:rsid w:val="00AA1FD4"/>
    <w:rsid w:val="00AA5DA1"/>
    <w:rsid w:val="00AB7F81"/>
    <w:rsid w:val="00AE369F"/>
    <w:rsid w:val="00B026CB"/>
    <w:rsid w:val="00B12380"/>
    <w:rsid w:val="00B4110B"/>
    <w:rsid w:val="00B61938"/>
    <w:rsid w:val="00B637AD"/>
    <w:rsid w:val="00B851D4"/>
    <w:rsid w:val="00B868FC"/>
    <w:rsid w:val="00B95072"/>
    <w:rsid w:val="00BB26CD"/>
    <w:rsid w:val="00BC7211"/>
    <w:rsid w:val="00BD7C7C"/>
    <w:rsid w:val="00BF7C69"/>
    <w:rsid w:val="00C045C0"/>
    <w:rsid w:val="00C07239"/>
    <w:rsid w:val="00C244A8"/>
    <w:rsid w:val="00C364B1"/>
    <w:rsid w:val="00C47D87"/>
    <w:rsid w:val="00C627F9"/>
    <w:rsid w:val="00C644C6"/>
    <w:rsid w:val="00C6584D"/>
    <w:rsid w:val="00C67B8F"/>
    <w:rsid w:val="00C929E0"/>
    <w:rsid w:val="00C95110"/>
    <w:rsid w:val="00CB4E5A"/>
    <w:rsid w:val="00CC13B8"/>
    <w:rsid w:val="00CC7110"/>
    <w:rsid w:val="00CC73D7"/>
    <w:rsid w:val="00CF0AD7"/>
    <w:rsid w:val="00CF0BE1"/>
    <w:rsid w:val="00CF25B1"/>
    <w:rsid w:val="00CF5665"/>
    <w:rsid w:val="00CF7C42"/>
    <w:rsid w:val="00D061C5"/>
    <w:rsid w:val="00D14AB0"/>
    <w:rsid w:val="00D25B3C"/>
    <w:rsid w:val="00D33D09"/>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252"/>
    <w:rsid w:val="00E56380"/>
    <w:rsid w:val="00E56A15"/>
    <w:rsid w:val="00E7533F"/>
    <w:rsid w:val="00E9167E"/>
    <w:rsid w:val="00E92319"/>
    <w:rsid w:val="00F469EB"/>
    <w:rsid w:val="00F532F9"/>
    <w:rsid w:val="00F65C1D"/>
    <w:rsid w:val="00F66B87"/>
    <w:rsid w:val="00F7417E"/>
    <w:rsid w:val="00F837F4"/>
    <w:rsid w:val="00F94A9C"/>
    <w:rsid w:val="00FB160B"/>
    <w:rsid w:val="00FC10ED"/>
    <w:rsid w:val="00FC59C4"/>
    <w:rsid w:val="00FE2FD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B97E08"/>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10E1A"/>
    <w:rPr>
      <w:position w:val="6"/>
      <w:sz w:val="18"/>
    </w:rPr>
  </w:style>
  <w:style w:type="paragraph" w:styleId="FootnoteText">
    <w:name w:val="footnote text"/>
    <w:basedOn w:val="Normal"/>
    <w:link w:val="FootnoteTextChar"/>
    <w:uiPriority w:val="99"/>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uiPriority w:val="99"/>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customStyle="1" w:styleId="normaltextrun">
    <w:name w:val="normaltextrun"/>
    <w:basedOn w:val="DefaultParagraphFont"/>
    <w:rsid w:val="000C75E4"/>
  </w:style>
  <w:style w:type="character" w:styleId="UnresolvedMention">
    <w:name w:val="Unresolved Mention"/>
    <w:basedOn w:val="DefaultParagraphFont"/>
    <w:uiPriority w:val="99"/>
    <w:semiHidden/>
    <w:unhideWhenUsed/>
    <w:rsid w:val="00444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en/itu-wsis/Pages/default.aspx" TargetMode="External"/><Relationship Id="rId18" Type="http://schemas.openxmlformats.org/officeDocument/2006/relationships/hyperlink" Target="https://www.itu.int/ITU-T/recommendations/rec.aspx?id=14084&amp;lang=en"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unfccc.int/process-and-meetings/the-paris-agreement/the-paris-agreement" TargetMode="External"/><Relationship Id="rId17" Type="http://schemas.openxmlformats.org/officeDocument/2006/relationships/hyperlink" Target="https://www.itu.int/ITU-T/recommendations/rec.aspx?rec=13864" TargetMode="External"/><Relationship Id="rId2" Type="http://schemas.openxmlformats.org/officeDocument/2006/relationships/customXml" Target="../customXml/item2.xml"/><Relationship Id="rId16" Type="http://schemas.openxmlformats.org/officeDocument/2006/relationships/hyperlink" Target="https://www.itu.int/ITU-T/recommendations/rec.aspx?rec=1288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fccc.int/documents/31047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tu.int/go/u4ssc'" TargetMode="External"/><Relationship Id="rId23" Type="http://schemas.openxmlformats.org/officeDocument/2006/relationships/fontTable" Target="fontTable.xml"/><Relationship Id="rId10" Type="http://schemas.openxmlformats.org/officeDocument/2006/relationships/hyperlink" Target="https://gss.itu.int/" TargetMode="External"/><Relationship Id="rId19" Type="http://schemas.openxmlformats.org/officeDocument/2006/relationships/hyperlink" Target="https://www.itu.int/en/ITU-T/focusgroups/ai4ad/Pages/default.asp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gss.itu.int/programm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bffbe68-76ef-4fd8-8395-7b9bf4f857dd">DPM</DPM_x0020_Author>
    <DPM_x0020_File_x0020_name xmlns="9bffbe68-76ef-4fd8-8395-7b9bf4f857dd">T17-WTSA.20-C-0043!!MSW-C</DPM_x0020_File_x0020_name>
    <DPM_x0020_Version xmlns="9bffbe68-76ef-4fd8-8395-7b9bf4f857dd">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bffbe68-76ef-4fd8-8395-7b9bf4f857dd" targetNamespace="http://schemas.microsoft.com/office/2006/metadata/properties" ma:root="true" ma:fieldsID="d41af5c836d734370eb92e7ee5f83852" ns2:_="" ns3:_="">
    <xsd:import namespace="996b2e75-67fd-4955-a3b0-5ab9934cb50b"/>
    <xsd:import namespace="9bffbe68-76ef-4fd8-8395-7b9bf4f857d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bffbe68-76ef-4fd8-8395-7b9bf4f857d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fbe68-76ef-4fd8-8395-7b9bf4f85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bffbe68-76ef-4fd8-8395-7b9bf4f85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4238</Words>
  <Characters>2390</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T17-WTSA.20-C-0043!!MSW-C</vt:lpstr>
    </vt:vector>
  </TitlesOfParts>
  <Manager>General Secretariat - Pool</Manager>
  <Company>International Telecommunication Union (ITU)</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T17-WTSA.20-C-0043!!MSW-C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28</cp:revision>
  <cp:lastPrinted>2016-06-07T13:24:00Z</cp:lastPrinted>
  <dcterms:created xsi:type="dcterms:W3CDTF">2022-03-01T07:04:00Z</dcterms:created>
  <dcterms:modified xsi:type="dcterms:W3CDTF">2022-03-01T08:50:00Z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