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1660"/>
        <w:gridCol w:w="3868"/>
        <w:gridCol w:w="1172"/>
        <w:gridCol w:w="2972"/>
      </w:tblGrid>
      <w:tr w:rsidR="00280E04" w14:paraId="2E7C06D7" w14:textId="77777777" w:rsidTr="00AD538E">
        <w:trPr>
          <w:cantSplit/>
          <w:trHeight w:val="20"/>
        </w:trPr>
        <w:tc>
          <w:tcPr>
            <w:tcW w:w="6700" w:type="dxa"/>
            <w:gridSpan w:val="3"/>
          </w:tcPr>
          <w:p w14:paraId="65111414" w14:textId="77777777" w:rsidR="00A375BD" w:rsidRPr="00136B82" w:rsidRDefault="00AD538E" w:rsidP="00AD538E">
            <w:pPr>
              <w:pStyle w:val="LOGO"/>
              <w:framePr w:hSpace="0" w:wrap="auto" w:xAlign="left" w:yAlign="inline"/>
            </w:pPr>
            <w:r w:rsidRPr="00AD538E">
              <w:rPr>
                <w:rFonts w:hint="cs"/>
                <w:rtl/>
                <w:lang w:bidi="ar-SA"/>
              </w:rPr>
              <w:t xml:space="preserve">الجمعية العالمية لتقييس الاتصالات </w:t>
            </w:r>
            <w:r w:rsidRPr="00AD538E">
              <w:t>(WTSA-20)</w:t>
            </w:r>
          </w:p>
          <w:p w14:paraId="5B3C3D79" w14:textId="77777777" w:rsidR="00A33A95" w:rsidRPr="00136B82" w:rsidRDefault="00DE1E82" w:rsidP="00DE1E82">
            <w:pPr>
              <w:pStyle w:val="LOGO"/>
              <w:framePr w:hSpace="0" w:wrap="auto" w:xAlign="left" w:yAlign="inline"/>
              <w:spacing w:before="160"/>
              <w:rPr>
                <w:rtl/>
              </w:rPr>
            </w:pPr>
            <w:r w:rsidRPr="00DE1E82">
              <w:rPr>
                <w:rFonts w:hint="cs"/>
                <w:sz w:val="26"/>
                <w:szCs w:val="26"/>
                <w:rtl/>
                <w:lang w:bidi="ar-SA"/>
              </w:rPr>
              <w:t>جنيف</w:t>
            </w:r>
            <w:r w:rsidRPr="00DE1E82">
              <w:rPr>
                <w:sz w:val="26"/>
                <w:szCs w:val="26"/>
                <w:rtl/>
                <w:lang w:bidi="ar-SA"/>
              </w:rPr>
              <w:t xml:space="preserve">، </w:t>
            </w:r>
            <w:r w:rsidRPr="00DE1E82">
              <w:rPr>
                <w:sz w:val="26"/>
                <w:szCs w:val="26"/>
                <w:lang w:bidi="ar-SA"/>
              </w:rPr>
              <w:t>1</w:t>
            </w:r>
            <w:r w:rsidRPr="00DE1E82">
              <w:rPr>
                <w:rFonts w:hint="cs"/>
                <w:sz w:val="26"/>
                <w:szCs w:val="26"/>
                <w:rtl/>
                <w:lang w:bidi="ar-SA"/>
              </w:rPr>
              <w:t xml:space="preserve">- </w:t>
            </w:r>
            <w:r w:rsidRPr="00DE1E82">
              <w:rPr>
                <w:sz w:val="26"/>
                <w:szCs w:val="26"/>
                <w:lang w:bidi="ar-SA"/>
              </w:rPr>
              <w:t>9</w:t>
            </w:r>
            <w:r w:rsidRPr="00DE1E82">
              <w:rPr>
                <w:rFonts w:hint="cs"/>
                <w:sz w:val="26"/>
                <w:szCs w:val="26"/>
                <w:rtl/>
                <w:lang w:bidi="ar-SA"/>
              </w:rPr>
              <w:t xml:space="preserve"> مارس </w:t>
            </w:r>
            <w:r w:rsidRPr="00DE1E82">
              <w:rPr>
                <w:sz w:val="26"/>
                <w:szCs w:val="26"/>
                <w:lang w:bidi="ar-SA"/>
              </w:rPr>
              <w:t>2022</w:t>
            </w:r>
          </w:p>
        </w:tc>
        <w:tc>
          <w:tcPr>
            <w:tcW w:w="2972" w:type="dxa"/>
          </w:tcPr>
          <w:p w14:paraId="310F2E9D" w14:textId="77777777" w:rsidR="00280E04" w:rsidRDefault="004E2A5D" w:rsidP="00AD538E">
            <w:pPr>
              <w:jc w:val="left"/>
              <w:rPr>
                <w:rtl/>
                <w:lang w:bidi="ar-EG"/>
              </w:rPr>
            </w:pPr>
            <w:bookmarkStart w:id="0" w:name="ditulogo"/>
            <w:bookmarkEnd w:id="0"/>
            <w:r>
              <w:rPr>
                <w:noProof/>
                <w:lang w:eastAsia="zh-CN"/>
              </w:rPr>
              <w:drawing>
                <wp:inline distT="0" distB="0" distL="0" distR="0" wp14:anchorId="6A5144D2" wp14:editId="4ACA2599">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80E04" w14:paraId="494DA295" w14:textId="77777777" w:rsidTr="00AD538E">
        <w:trPr>
          <w:cantSplit/>
          <w:trHeight w:val="20"/>
        </w:trPr>
        <w:tc>
          <w:tcPr>
            <w:tcW w:w="6700" w:type="dxa"/>
            <w:gridSpan w:val="3"/>
            <w:tcBorders>
              <w:bottom w:val="single" w:sz="12" w:space="0" w:color="auto"/>
            </w:tcBorders>
          </w:tcPr>
          <w:p w14:paraId="671F3CB8" w14:textId="77777777" w:rsidR="00280E04" w:rsidRPr="00960962" w:rsidRDefault="00280E04" w:rsidP="008A1E64">
            <w:pPr>
              <w:spacing w:before="0" w:line="120" w:lineRule="auto"/>
              <w:rPr>
                <w:rtl/>
                <w:lang w:bidi="ar-EG"/>
              </w:rPr>
            </w:pPr>
          </w:p>
        </w:tc>
        <w:tc>
          <w:tcPr>
            <w:tcW w:w="2972" w:type="dxa"/>
            <w:tcBorders>
              <w:bottom w:val="single" w:sz="12" w:space="0" w:color="auto"/>
            </w:tcBorders>
          </w:tcPr>
          <w:p w14:paraId="34695E26" w14:textId="77777777" w:rsidR="00280E04" w:rsidRPr="00A9645C" w:rsidRDefault="00280E04" w:rsidP="008A1E64">
            <w:pPr>
              <w:spacing w:before="0" w:line="120" w:lineRule="auto"/>
              <w:rPr>
                <w:lang w:bidi="ar-EG"/>
              </w:rPr>
            </w:pPr>
          </w:p>
        </w:tc>
      </w:tr>
      <w:tr w:rsidR="00280E04" w14:paraId="078EA312" w14:textId="77777777" w:rsidTr="00AD538E">
        <w:trPr>
          <w:cantSplit/>
          <w:trHeight w:val="20"/>
        </w:trPr>
        <w:tc>
          <w:tcPr>
            <w:tcW w:w="6700" w:type="dxa"/>
            <w:gridSpan w:val="3"/>
            <w:tcBorders>
              <w:top w:val="single" w:sz="12" w:space="0" w:color="auto"/>
            </w:tcBorders>
          </w:tcPr>
          <w:p w14:paraId="4263129C" w14:textId="77777777" w:rsidR="00280E04" w:rsidRPr="00BD6EF3" w:rsidRDefault="00280E04" w:rsidP="004E2A5D">
            <w:pPr>
              <w:pStyle w:val="Adress"/>
              <w:framePr w:hSpace="0" w:wrap="auto" w:xAlign="left" w:yAlign="inline"/>
              <w:spacing w:before="0" w:after="0"/>
              <w:rPr>
                <w:rtl/>
              </w:rPr>
            </w:pPr>
          </w:p>
        </w:tc>
        <w:tc>
          <w:tcPr>
            <w:tcW w:w="2972" w:type="dxa"/>
            <w:tcBorders>
              <w:top w:val="single" w:sz="12" w:space="0" w:color="auto"/>
            </w:tcBorders>
          </w:tcPr>
          <w:p w14:paraId="6DCDB466" w14:textId="77777777" w:rsidR="00280E04" w:rsidRPr="00BD6EF3" w:rsidRDefault="00280E04" w:rsidP="004E2A5D">
            <w:pPr>
              <w:pStyle w:val="Adress"/>
              <w:framePr w:hSpace="0" w:wrap="auto" w:xAlign="left" w:yAlign="inline"/>
              <w:spacing w:before="0" w:after="0"/>
            </w:pPr>
          </w:p>
        </w:tc>
      </w:tr>
      <w:tr w:rsidR="00AD538E" w14:paraId="0673FC35" w14:textId="77777777" w:rsidTr="00F779DA">
        <w:trPr>
          <w:cantSplit/>
        </w:trPr>
        <w:tc>
          <w:tcPr>
            <w:tcW w:w="6700" w:type="dxa"/>
            <w:gridSpan w:val="3"/>
          </w:tcPr>
          <w:p w14:paraId="0612A051" w14:textId="77777777" w:rsidR="00AD538E" w:rsidRPr="0012545F" w:rsidRDefault="00AD538E" w:rsidP="00AD538E">
            <w:pPr>
              <w:pStyle w:val="Adress"/>
              <w:framePr w:hSpace="0" w:wrap="auto" w:xAlign="left" w:yAlign="inline"/>
              <w:spacing w:before="40" w:after="40"/>
              <w:rPr>
                <w:rtl/>
              </w:rPr>
            </w:pPr>
            <w:r w:rsidRPr="005C3880">
              <w:rPr>
                <w:rtl/>
              </w:rPr>
              <w:t>الجلسة العامة</w:t>
            </w:r>
          </w:p>
        </w:tc>
        <w:tc>
          <w:tcPr>
            <w:tcW w:w="2972" w:type="dxa"/>
          </w:tcPr>
          <w:p w14:paraId="139CEE70" w14:textId="346EC69D" w:rsidR="00AD538E" w:rsidRPr="0012545F" w:rsidRDefault="00AD538E" w:rsidP="00AD538E">
            <w:pPr>
              <w:pStyle w:val="Adress"/>
              <w:framePr w:hSpace="0" w:wrap="auto" w:xAlign="left" w:yAlign="inline"/>
              <w:spacing w:before="40" w:after="40"/>
              <w:rPr>
                <w:rtl/>
              </w:rPr>
            </w:pPr>
            <w:r w:rsidRPr="00827B38">
              <w:rPr>
                <w:rtl/>
              </w:rPr>
              <w:t>الوثيقة</w:t>
            </w:r>
            <w:r>
              <w:rPr>
                <w:rFonts w:hint="cs"/>
                <w:rtl/>
              </w:rPr>
              <w:t xml:space="preserve"> </w:t>
            </w:r>
            <w:r w:rsidR="001B073C">
              <w:t>43-A</w:t>
            </w:r>
          </w:p>
        </w:tc>
      </w:tr>
      <w:tr w:rsidR="00AD538E" w14:paraId="5631C197" w14:textId="77777777" w:rsidTr="00F779DA">
        <w:trPr>
          <w:cantSplit/>
        </w:trPr>
        <w:tc>
          <w:tcPr>
            <w:tcW w:w="6700" w:type="dxa"/>
            <w:gridSpan w:val="3"/>
          </w:tcPr>
          <w:p w14:paraId="2A9F359A" w14:textId="77777777" w:rsidR="00AD538E" w:rsidRPr="0012545F" w:rsidRDefault="00AD538E" w:rsidP="00AD538E">
            <w:pPr>
              <w:pStyle w:val="Adress"/>
              <w:framePr w:hSpace="0" w:wrap="auto" w:xAlign="left" w:yAlign="inline"/>
              <w:spacing w:before="40" w:after="40"/>
              <w:rPr>
                <w:rtl/>
              </w:rPr>
            </w:pPr>
          </w:p>
        </w:tc>
        <w:tc>
          <w:tcPr>
            <w:tcW w:w="2972" w:type="dxa"/>
          </w:tcPr>
          <w:p w14:paraId="38D81F33" w14:textId="24C74377" w:rsidR="00AD538E" w:rsidRPr="0012545F" w:rsidRDefault="004A3FE7" w:rsidP="00AD538E">
            <w:pPr>
              <w:pStyle w:val="Adress"/>
              <w:framePr w:hSpace="0" w:wrap="auto" w:xAlign="left" w:yAlign="inline"/>
              <w:spacing w:before="40" w:after="40"/>
              <w:rPr>
                <w:rtl/>
              </w:rPr>
            </w:pPr>
            <w:r>
              <w:t>28</w:t>
            </w:r>
            <w:r w:rsidR="00AD538E">
              <w:rPr>
                <w:rFonts w:hint="cs"/>
                <w:rtl/>
              </w:rPr>
              <w:t xml:space="preserve"> </w:t>
            </w:r>
            <w:r w:rsidR="00453A3C">
              <w:rPr>
                <w:rFonts w:hint="cs"/>
                <w:rtl/>
              </w:rPr>
              <w:t>فبراير</w:t>
            </w:r>
            <w:r w:rsidR="00AD538E">
              <w:rPr>
                <w:rFonts w:hint="cs"/>
                <w:rtl/>
              </w:rPr>
              <w:t xml:space="preserve"> </w:t>
            </w:r>
            <w:r w:rsidR="00AD538E" w:rsidRPr="00827B38">
              <w:t>202</w:t>
            </w:r>
            <w:r>
              <w:t>2</w:t>
            </w:r>
          </w:p>
        </w:tc>
      </w:tr>
      <w:tr w:rsidR="00AD538E" w14:paraId="3696630C" w14:textId="77777777" w:rsidTr="00F779DA">
        <w:trPr>
          <w:cantSplit/>
        </w:trPr>
        <w:tc>
          <w:tcPr>
            <w:tcW w:w="6700" w:type="dxa"/>
            <w:gridSpan w:val="3"/>
          </w:tcPr>
          <w:p w14:paraId="4DDCA46F" w14:textId="77777777" w:rsidR="00AD538E" w:rsidRPr="004E2A5D" w:rsidRDefault="00AD538E" w:rsidP="00AD538E">
            <w:pPr>
              <w:pStyle w:val="Adress"/>
              <w:framePr w:hSpace="0" w:wrap="auto" w:xAlign="left" w:yAlign="inline"/>
              <w:spacing w:before="40" w:after="40"/>
              <w:rPr>
                <w:rtl/>
              </w:rPr>
            </w:pPr>
          </w:p>
        </w:tc>
        <w:tc>
          <w:tcPr>
            <w:tcW w:w="2972" w:type="dxa"/>
          </w:tcPr>
          <w:p w14:paraId="249D035A" w14:textId="77777777" w:rsidR="00AD538E" w:rsidRPr="0012545F" w:rsidRDefault="00AD538E" w:rsidP="00AD538E">
            <w:pPr>
              <w:pStyle w:val="Adress"/>
              <w:framePr w:hSpace="0" w:wrap="auto" w:xAlign="left" w:yAlign="inline"/>
              <w:spacing w:before="40" w:after="40"/>
              <w:rPr>
                <w:rFonts w:eastAsia="SimSun"/>
              </w:rPr>
            </w:pPr>
            <w:r w:rsidRPr="00827B38">
              <w:rPr>
                <w:rtl/>
              </w:rPr>
              <w:t>الأصل:</w:t>
            </w:r>
            <w:r>
              <w:rPr>
                <w:rFonts w:hint="cs"/>
                <w:rtl/>
              </w:rPr>
              <w:t xml:space="preserve"> </w:t>
            </w:r>
            <w:r w:rsidRPr="00827B38">
              <w:rPr>
                <w:rtl/>
              </w:rPr>
              <w:t>بالإنكليزية</w:t>
            </w:r>
          </w:p>
        </w:tc>
      </w:tr>
      <w:tr w:rsidR="005C3880" w14:paraId="5883C9BF" w14:textId="77777777" w:rsidTr="004E2A5D">
        <w:trPr>
          <w:cantSplit/>
        </w:trPr>
        <w:tc>
          <w:tcPr>
            <w:tcW w:w="9672" w:type="dxa"/>
            <w:gridSpan w:val="4"/>
          </w:tcPr>
          <w:p w14:paraId="4262848C" w14:textId="77777777" w:rsidR="005C3880" w:rsidRDefault="005C3880" w:rsidP="005C3880">
            <w:pPr>
              <w:pStyle w:val="Adress"/>
              <w:framePr w:hSpace="0" w:wrap="auto" w:xAlign="left" w:yAlign="inline"/>
              <w:rPr>
                <w:rFonts w:eastAsia="SimSun"/>
              </w:rPr>
            </w:pPr>
          </w:p>
        </w:tc>
      </w:tr>
      <w:tr w:rsidR="005C3880" w14:paraId="64E012E2" w14:textId="77777777" w:rsidTr="004E2A5D">
        <w:trPr>
          <w:cantSplit/>
        </w:trPr>
        <w:tc>
          <w:tcPr>
            <w:tcW w:w="9672" w:type="dxa"/>
            <w:gridSpan w:val="4"/>
          </w:tcPr>
          <w:p w14:paraId="52DF8AE3" w14:textId="3281ECD9" w:rsidR="005C3880" w:rsidRPr="00E621A3" w:rsidRDefault="004A3FE7" w:rsidP="005C3880">
            <w:pPr>
              <w:pStyle w:val="Source"/>
              <w:rPr>
                <w:rtl/>
                <w:lang w:bidi="ar-SA"/>
              </w:rPr>
            </w:pPr>
            <w:r>
              <w:rPr>
                <w:rFonts w:hint="cs"/>
                <w:rtl/>
              </w:rPr>
              <w:t>مدير مكتب تقييس الاتصالات</w:t>
            </w:r>
          </w:p>
        </w:tc>
      </w:tr>
      <w:tr w:rsidR="005C3880" w14:paraId="7E56F4FF" w14:textId="77777777" w:rsidTr="004E2A5D">
        <w:trPr>
          <w:cantSplit/>
        </w:trPr>
        <w:tc>
          <w:tcPr>
            <w:tcW w:w="9672" w:type="dxa"/>
            <w:gridSpan w:val="4"/>
          </w:tcPr>
          <w:p w14:paraId="034161F0" w14:textId="2CAF71B9" w:rsidR="005C3880" w:rsidRPr="00BD6EF3" w:rsidRDefault="004A3FE7" w:rsidP="001868D5">
            <w:pPr>
              <w:pStyle w:val="Title1"/>
              <w:spacing w:before="240"/>
              <w:rPr>
                <w:rtl/>
              </w:rPr>
            </w:pPr>
            <w:r w:rsidRPr="004A3FE7">
              <w:rPr>
                <w:rtl/>
                <w:lang w:bidi="ar-SA"/>
              </w:rPr>
              <w:t>استنتاجات الندوة العالمية الرابعة للمعايير</w:t>
            </w:r>
          </w:p>
        </w:tc>
      </w:tr>
      <w:tr w:rsidR="005C3880" w14:paraId="3F49FC7E" w14:textId="77777777" w:rsidTr="00FC7FD8">
        <w:trPr>
          <w:cantSplit/>
        </w:trPr>
        <w:tc>
          <w:tcPr>
            <w:tcW w:w="9672" w:type="dxa"/>
            <w:gridSpan w:val="4"/>
          </w:tcPr>
          <w:p w14:paraId="6A7FAE2E" w14:textId="77777777" w:rsidR="005C3880" w:rsidRDefault="005C3880" w:rsidP="005C3880">
            <w:pPr>
              <w:rPr>
                <w:rtl/>
              </w:rPr>
            </w:pPr>
          </w:p>
        </w:tc>
      </w:tr>
      <w:tr w:rsidR="00E56357" w:rsidRPr="00AD538E" w14:paraId="66491BAC" w14:textId="77777777" w:rsidTr="002342E1">
        <w:trPr>
          <w:cantSplit/>
        </w:trPr>
        <w:tc>
          <w:tcPr>
            <w:tcW w:w="1660" w:type="dxa"/>
          </w:tcPr>
          <w:p w14:paraId="592B167D" w14:textId="3E3FD3DA" w:rsidR="00E56357" w:rsidRPr="00AD538E" w:rsidRDefault="00E56357" w:rsidP="00E56357">
            <w:pPr>
              <w:spacing w:after="120" w:line="300" w:lineRule="exact"/>
              <w:rPr>
                <w:b/>
                <w:bCs/>
                <w:rtl/>
                <w:lang w:bidi="ar-EG"/>
              </w:rPr>
            </w:pPr>
            <w:r>
              <w:rPr>
                <w:rFonts w:eastAsia="SimSun" w:hint="cs"/>
                <w:b/>
                <w:bCs/>
                <w:position w:val="2"/>
                <w:rtl/>
                <w:lang w:val="fr-FR" w:eastAsia="zh-CN" w:bidi="ar-EG"/>
              </w:rPr>
              <w:t>ملخص:</w:t>
            </w:r>
          </w:p>
        </w:tc>
        <w:tc>
          <w:tcPr>
            <w:tcW w:w="8012" w:type="dxa"/>
            <w:gridSpan w:val="3"/>
          </w:tcPr>
          <w:p w14:paraId="650AB185" w14:textId="124D9000" w:rsidR="00E56357" w:rsidRPr="00AD538E" w:rsidRDefault="00E56357" w:rsidP="00AD538E">
            <w:pPr>
              <w:spacing w:after="120" w:line="300" w:lineRule="exact"/>
              <w:rPr>
                <w:rtl/>
              </w:rPr>
            </w:pPr>
            <w:r>
              <w:rPr>
                <w:rFonts w:hint="cs"/>
                <w:rtl/>
              </w:rPr>
              <w:t>يلخص هذا التقرير استنتاجات الندوة العالمية الرابعة للمعايير</w:t>
            </w:r>
            <w:r w:rsidR="00CB2176">
              <w:rPr>
                <w:rFonts w:hint="cs"/>
                <w:rtl/>
              </w:rPr>
              <w:t>.</w:t>
            </w:r>
          </w:p>
        </w:tc>
      </w:tr>
      <w:tr w:rsidR="00E56357" w:rsidRPr="00AD538E" w14:paraId="637D5FD8" w14:textId="77777777" w:rsidTr="00E56357">
        <w:trPr>
          <w:cantSplit/>
        </w:trPr>
        <w:tc>
          <w:tcPr>
            <w:tcW w:w="1660" w:type="dxa"/>
          </w:tcPr>
          <w:p w14:paraId="14684930" w14:textId="3D75EEBE" w:rsidR="00E56357" w:rsidRPr="00AD538E" w:rsidRDefault="00E56357" w:rsidP="00E56357">
            <w:pPr>
              <w:spacing w:after="120" w:line="300" w:lineRule="exact"/>
              <w:rPr>
                <w:rFonts w:hint="cs"/>
                <w:b/>
                <w:bCs/>
                <w:rtl/>
                <w:lang w:bidi="ar-EG"/>
              </w:rPr>
            </w:pPr>
            <w:r>
              <w:rPr>
                <w:rFonts w:hint="cs"/>
                <w:b/>
                <w:bCs/>
                <w:rtl/>
              </w:rPr>
              <w:t>للاتصال</w:t>
            </w:r>
            <w:r w:rsidRPr="00AD538E">
              <w:rPr>
                <w:rFonts w:hint="cs"/>
                <w:b/>
                <w:bCs/>
                <w:rtl/>
              </w:rPr>
              <w:t>:</w:t>
            </w:r>
          </w:p>
        </w:tc>
        <w:tc>
          <w:tcPr>
            <w:tcW w:w="3868" w:type="dxa"/>
          </w:tcPr>
          <w:p w14:paraId="30FC0CE8" w14:textId="1F2D058D" w:rsidR="00E56357" w:rsidRPr="00AD538E" w:rsidRDefault="00E56357" w:rsidP="00E56357">
            <w:pPr>
              <w:spacing w:after="120" w:line="300" w:lineRule="exact"/>
              <w:jc w:val="left"/>
              <w:rPr>
                <w:rtl/>
              </w:rPr>
            </w:pPr>
            <w:r>
              <w:rPr>
                <w:rFonts w:hint="cs"/>
                <w:rtl/>
              </w:rPr>
              <w:t>مكتب تقييس الاتصالات</w:t>
            </w:r>
          </w:p>
        </w:tc>
        <w:tc>
          <w:tcPr>
            <w:tcW w:w="4144" w:type="dxa"/>
            <w:gridSpan w:val="2"/>
          </w:tcPr>
          <w:p w14:paraId="7FCC80FD" w14:textId="1F318740" w:rsidR="00E56357" w:rsidRPr="00E56357" w:rsidRDefault="00E56357" w:rsidP="00E56357">
            <w:pPr>
              <w:spacing w:after="120" w:line="300" w:lineRule="exact"/>
              <w:jc w:val="left"/>
              <w:rPr>
                <w:rtl/>
                <w:lang w:val="fr-CH"/>
              </w:rPr>
            </w:pPr>
            <w:r>
              <w:rPr>
                <w:rFonts w:hint="cs"/>
                <w:rtl/>
              </w:rPr>
              <w:t xml:space="preserve">البريد الإلكتروني: </w:t>
            </w:r>
            <w:hyperlink r:id="rId13" w:history="1">
              <w:r w:rsidRPr="00791E4C">
                <w:rPr>
                  <w:rStyle w:val="Hyperlink"/>
                  <w:lang w:val="fr-CH"/>
                </w:rPr>
                <w:t>bilel.jamoussi@itu.int</w:t>
              </w:r>
            </w:hyperlink>
          </w:p>
        </w:tc>
      </w:tr>
    </w:tbl>
    <w:p w14:paraId="4FD4C82C" w14:textId="77777777" w:rsidR="004A3FE7" w:rsidRPr="00E56357" w:rsidRDefault="004A3FE7" w:rsidP="00E56357">
      <w:pPr>
        <w:pStyle w:val="Title4"/>
        <w:rPr>
          <w:b/>
          <w:bCs/>
          <w:rtl/>
        </w:rPr>
      </w:pPr>
      <w:r w:rsidRPr="00E56357">
        <w:rPr>
          <w:b/>
          <w:bCs/>
          <w:rtl/>
        </w:rPr>
        <w:t>استنتاجات الندوة العالمية الرابعة للمعايير</w:t>
      </w:r>
      <w:r w:rsidRPr="00E56357">
        <w:rPr>
          <w:rFonts w:hint="cs"/>
          <w:b/>
          <w:bCs/>
          <w:rtl/>
        </w:rPr>
        <w:t xml:space="preserve"> </w:t>
      </w:r>
    </w:p>
    <w:p w14:paraId="4F327867" w14:textId="7961A349" w:rsidR="004A3FE7" w:rsidRPr="008F6138" w:rsidRDefault="004A3FE7" w:rsidP="004A3FE7">
      <w:pPr>
        <w:pStyle w:val="Heading1"/>
        <w:rPr>
          <w:color w:val="052D53"/>
          <w:rtl/>
        </w:rPr>
      </w:pPr>
      <w:r w:rsidRPr="008F6138">
        <w:rPr>
          <w:color w:val="052D53"/>
        </w:rPr>
        <w:t>1</w:t>
      </w:r>
      <w:r w:rsidRPr="008F6138">
        <w:rPr>
          <w:color w:val="052D53"/>
        </w:rPr>
        <w:tab/>
      </w:r>
      <w:r w:rsidRPr="008F6138">
        <w:rPr>
          <w:rFonts w:hint="cs"/>
          <w:color w:val="052D53"/>
          <w:rtl/>
        </w:rPr>
        <w:t>مقدمة</w:t>
      </w:r>
    </w:p>
    <w:p w14:paraId="03BEFEBC" w14:textId="4A072396" w:rsidR="004A3FE7" w:rsidRPr="009662DA" w:rsidRDefault="004A3FE7" w:rsidP="004A3FE7">
      <w:pPr>
        <w:rPr>
          <w:spacing w:val="-2"/>
          <w:rtl/>
          <w:lang w:bidi="ar-EG"/>
        </w:rPr>
      </w:pPr>
      <w:r w:rsidRPr="009662DA">
        <w:rPr>
          <w:rFonts w:hint="cs"/>
          <w:spacing w:val="-2"/>
          <w:rtl/>
        </w:rPr>
        <w:t xml:space="preserve">جمعت </w:t>
      </w:r>
      <w:hyperlink r:id="rId14" w:history="1">
        <w:r w:rsidRPr="009662DA">
          <w:rPr>
            <w:rStyle w:val="Hyperlink"/>
            <w:spacing w:val="-2"/>
            <w:rtl/>
          </w:rPr>
          <w:t>الندوة العالمية</w:t>
        </w:r>
        <w:r w:rsidRPr="009662DA">
          <w:rPr>
            <w:rStyle w:val="Hyperlink"/>
            <w:rFonts w:hint="cs"/>
            <w:spacing w:val="-2"/>
            <w:rtl/>
          </w:rPr>
          <w:t xml:space="preserve"> الرابعة</w:t>
        </w:r>
        <w:r w:rsidRPr="009662DA">
          <w:rPr>
            <w:rStyle w:val="Hyperlink"/>
            <w:spacing w:val="-2"/>
            <w:rtl/>
          </w:rPr>
          <w:t xml:space="preserve"> للمعايير (</w:t>
        </w:r>
        <w:r w:rsidRPr="009662DA">
          <w:rPr>
            <w:rStyle w:val="Hyperlink"/>
            <w:spacing w:val="-2"/>
          </w:rPr>
          <w:t>GSS</w:t>
        </w:r>
        <w:r w:rsidR="00BF50CB">
          <w:rPr>
            <w:rStyle w:val="Hyperlink"/>
            <w:spacing w:val="-2"/>
          </w:rPr>
          <w:t>-20</w:t>
        </w:r>
        <w:r w:rsidRPr="009662DA">
          <w:rPr>
            <w:rStyle w:val="Hyperlink"/>
            <w:spacing w:val="-2"/>
            <w:rtl/>
          </w:rPr>
          <w:t>)</w:t>
        </w:r>
      </w:hyperlink>
      <w:r w:rsidRPr="009662DA">
        <w:rPr>
          <w:rFonts w:hint="cs"/>
          <w:spacing w:val="-2"/>
          <w:rtl/>
        </w:rPr>
        <w:t xml:space="preserve"> التي عُقدت في </w:t>
      </w:r>
      <w:r w:rsidRPr="009662DA">
        <w:rPr>
          <w:spacing w:val="-2"/>
        </w:rPr>
        <w:t>28</w:t>
      </w:r>
      <w:r w:rsidRPr="009662DA">
        <w:rPr>
          <w:rFonts w:hint="cs"/>
          <w:spacing w:val="-2"/>
          <w:rtl/>
          <w:lang w:bidi="ar-EG"/>
        </w:rPr>
        <w:t xml:space="preserve"> فبراير </w:t>
      </w:r>
      <w:r w:rsidRPr="009662DA">
        <w:rPr>
          <w:spacing w:val="-2"/>
          <w:lang w:bidi="ar-EG"/>
        </w:rPr>
        <w:t>2022</w:t>
      </w:r>
      <w:r w:rsidRPr="009662DA">
        <w:rPr>
          <w:rFonts w:hint="cs"/>
          <w:spacing w:val="-2"/>
          <w:rtl/>
          <w:lang w:bidi="ar-EG"/>
        </w:rPr>
        <w:t xml:space="preserve"> في جنيف (سويسرا)</w:t>
      </w:r>
      <w:r w:rsidRPr="009662DA">
        <w:rPr>
          <w:rFonts w:hint="cs"/>
          <w:spacing w:val="-2"/>
          <w:rtl/>
        </w:rPr>
        <w:t xml:space="preserve"> قادة الفكر في مجال التقييس للتداول بشأن كيفية إسهام المعايير الدولية في تمكين عملية التحول الرقمي من تحقيق أهداف التنمية المستدامة</w:t>
      </w:r>
      <w:r w:rsidR="00BF50CB">
        <w:rPr>
          <w:rFonts w:hint="eastAsia"/>
          <w:spacing w:val="-2"/>
          <w:rtl/>
        </w:rPr>
        <w:t> </w:t>
      </w:r>
      <w:r w:rsidRPr="009662DA">
        <w:rPr>
          <w:spacing w:val="-2"/>
        </w:rPr>
        <w:t>(SDG)</w:t>
      </w:r>
      <w:r w:rsidRPr="009662DA">
        <w:rPr>
          <w:rFonts w:hint="cs"/>
          <w:spacing w:val="-2"/>
          <w:rtl/>
          <w:lang w:bidi="ar-EG"/>
        </w:rPr>
        <w:t>.</w:t>
      </w:r>
    </w:p>
    <w:p w14:paraId="513F19B5" w14:textId="77777777" w:rsidR="004A3FE7" w:rsidRDefault="004A3FE7" w:rsidP="004A3FE7">
      <w:pPr>
        <w:rPr>
          <w:rtl/>
          <w:lang w:bidi="ar-EG"/>
        </w:rPr>
      </w:pPr>
      <w:r>
        <w:rPr>
          <w:rFonts w:hint="cs"/>
          <w:rtl/>
          <w:lang w:bidi="ar-EG"/>
        </w:rPr>
        <w:t xml:space="preserve">فقد أَرست الندوة العالمية الرابعة للمعايير لعام </w:t>
      </w:r>
      <w:r>
        <w:rPr>
          <w:lang w:bidi="ar-EG"/>
        </w:rPr>
        <w:t>2020</w:t>
      </w:r>
      <w:r>
        <w:rPr>
          <w:rFonts w:hint="cs"/>
          <w:rtl/>
          <w:lang w:bidi="ar-EG"/>
        </w:rPr>
        <w:t xml:space="preserve"> </w:t>
      </w:r>
      <w:r>
        <w:rPr>
          <w:lang w:bidi="ar-EG"/>
        </w:rPr>
        <w:t>(GSS-20)</w:t>
      </w:r>
      <w:r>
        <w:rPr>
          <w:rFonts w:hint="cs"/>
          <w:rtl/>
          <w:lang w:bidi="ar-EG"/>
        </w:rPr>
        <w:t xml:space="preserve"> الأساس لتحديد سبل التعاون فيما بين أصحاب المصلحة على العمل من أجل استحداث معايير، ومبادئ توجيهية، وأُطر، دولية تحفز تحقيق التحول الرقمي بهدف تحقيق أهداف التنمية المستدامة </w:t>
      </w:r>
      <w:r>
        <w:rPr>
          <w:lang w:bidi="ar-EG"/>
        </w:rPr>
        <w:t>(SDG)</w:t>
      </w:r>
      <w:r>
        <w:rPr>
          <w:rFonts w:hint="cs"/>
          <w:rtl/>
          <w:lang w:bidi="ar-EG"/>
        </w:rPr>
        <w:t xml:space="preserve"> المبيَّنة في </w:t>
      </w:r>
      <w:hyperlink r:id="rId15" w:history="1">
        <w:r w:rsidRPr="009662DA">
          <w:rPr>
            <w:rStyle w:val="Hyperlink"/>
            <w:rFonts w:hint="cs"/>
            <w:rtl/>
            <w:lang w:bidi="ar-EG"/>
          </w:rPr>
          <w:t xml:space="preserve">خطة التنمية المستدامة لعام </w:t>
        </w:r>
        <w:r w:rsidRPr="009662DA">
          <w:rPr>
            <w:rStyle w:val="Hyperlink"/>
            <w:lang w:bidi="ar-EG"/>
          </w:rPr>
          <w:t>2030</w:t>
        </w:r>
      </w:hyperlink>
      <w:r>
        <w:rPr>
          <w:rFonts w:hint="cs"/>
          <w:rtl/>
          <w:lang w:bidi="ar-EG"/>
        </w:rPr>
        <w:t>، و</w:t>
      </w:r>
      <w:hyperlink r:id="rId16" w:history="1">
        <w:r w:rsidRPr="009662DA">
          <w:rPr>
            <w:rStyle w:val="Hyperlink"/>
            <w:rFonts w:hint="cs"/>
            <w:rtl/>
            <w:lang w:bidi="ar-EG"/>
          </w:rPr>
          <w:t>ميثاق غلاسكو للمناخ</w:t>
        </w:r>
      </w:hyperlink>
      <w:r>
        <w:rPr>
          <w:rFonts w:hint="cs"/>
          <w:rtl/>
          <w:lang w:bidi="ar-EG"/>
        </w:rPr>
        <w:t>، و</w:t>
      </w:r>
      <w:hyperlink r:id="rId17" w:history="1">
        <w:r w:rsidRPr="009662DA">
          <w:rPr>
            <w:rStyle w:val="Hyperlink"/>
            <w:rFonts w:hint="cs"/>
            <w:rtl/>
            <w:lang w:bidi="ar-EG"/>
          </w:rPr>
          <w:t>اتفاق باريس</w:t>
        </w:r>
      </w:hyperlink>
      <w:r>
        <w:rPr>
          <w:rFonts w:hint="cs"/>
          <w:rtl/>
          <w:lang w:bidi="ar-EG"/>
        </w:rPr>
        <w:t>، و</w:t>
      </w:r>
      <w:hyperlink r:id="rId18" w:history="1">
        <w:r w:rsidRPr="009662DA">
          <w:rPr>
            <w:rStyle w:val="Hyperlink"/>
            <w:rFonts w:hint="cs"/>
            <w:rtl/>
            <w:lang w:bidi="ar-EG"/>
          </w:rPr>
          <w:t xml:space="preserve">خطوط عمل القمة العالمية لمجتمع المعلومات </w:t>
        </w:r>
        <w:r w:rsidRPr="009662DA">
          <w:rPr>
            <w:rStyle w:val="Hyperlink"/>
            <w:lang w:bidi="ar-EG"/>
          </w:rPr>
          <w:t>(WSIS)</w:t>
        </w:r>
      </w:hyperlink>
      <w:r>
        <w:rPr>
          <w:rFonts w:hint="cs"/>
          <w:rtl/>
          <w:lang w:bidi="ar-EG"/>
        </w:rPr>
        <w:t>.</w:t>
      </w:r>
    </w:p>
    <w:p w14:paraId="7CCA236B" w14:textId="77777777" w:rsidR="004A3FE7" w:rsidRDefault="004A3FE7" w:rsidP="004A3FE7">
      <w:pPr>
        <w:rPr>
          <w:rtl/>
          <w:lang w:bidi="ar-EG"/>
        </w:rPr>
      </w:pPr>
      <w:r>
        <w:rPr>
          <w:rFonts w:hint="cs"/>
          <w:rtl/>
          <w:lang w:bidi="ar-EG"/>
        </w:rPr>
        <w:t>ويوجز القسم 2</w:t>
      </w:r>
      <w:r>
        <w:rPr>
          <w:lang w:bidi="ar-EG"/>
        </w:rPr>
        <w:t xml:space="preserve"> </w:t>
      </w:r>
      <w:r>
        <w:rPr>
          <w:rFonts w:hint="cs"/>
          <w:rtl/>
          <w:lang w:bidi="ar-EG"/>
        </w:rPr>
        <w:t>من هذا التقرير النتائج والتوصيات الرئيسية المنبثقة عن كل من الجلسات التي عُقدت في إطار الندوة.</w:t>
      </w:r>
    </w:p>
    <w:p w14:paraId="71BDCAEF" w14:textId="6264988F" w:rsidR="004A3FE7" w:rsidRDefault="004A3FE7" w:rsidP="004A3FE7">
      <w:pPr>
        <w:rPr>
          <w:rFonts w:hint="cs"/>
          <w:rtl/>
          <w:lang w:bidi="ar-EG"/>
        </w:rPr>
      </w:pPr>
      <w:r>
        <w:rPr>
          <w:rFonts w:hint="cs"/>
          <w:rtl/>
        </w:rPr>
        <w:t>ويمكن الاطلاع على البرنامج النهائي والسير الذاتية للمتحدثين والعروض التي قدموها عبر الرابط التالي:</w:t>
      </w:r>
      <w:r>
        <w:rPr>
          <w:rtl/>
        </w:rPr>
        <w:tab/>
      </w:r>
      <w:r>
        <w:rPr>
          <w:rtl/>
        </w:rPr>
        <w:br/>
      </w:r>
      <w:r>
        <w:rPr>
          <w:rFonts w:hint="cs"/>
          <w:rtl/>
        </w:rPr>
        <w:t xml:space="preserve"> </w:t>
      </w:r>
      <w:hyperlink r:id="rId19" w:history="1">
        <w:r w:rsidRPr="004E53E3">
          <w:rPr>
            <w:rStyle w:val="Hyperlink"/>
            <w:rFonts w:ascii="Calibri" w:hAnsi="Calibri" w:cs="Calibri"/>
            <w:lang w:val="en-GB" w:eastAsia="en-GB"/>
          </w:rPr>
          <w:t>https://gss.itu.int/programme/</w:t>
        </w:r>
      </w:hyperlink>
      <w:r w:rsidR="00BD4260" w:rsidRPr="00BD4260">
        <w:rPr>
          <w:rStyle w:val="Hyperlink"/>
          <w:rFonts w:ascii="Calibri" w:hAnsi="Calibri" w:cs="Calibri" w:hint="cs"/>
          <w:color w:val="auto"/>
          <w:u w:val="none"/>
          <w:rtl/>
          <w:lang w:val="en-GB" w:eastAsia="en-GB" w:bidi="ar-EG"/>
        </w:rPr>
        <w:t>.</w:t>
      </w:r>
    </w:p>
    <w:p w14:paraId="191F37D3" w14:textId="5D3EBB3B" w:rsidR="004A3FE7" w:rsidRDefault="004A3FE7" w:rsidP="004A3FE7">
      <w:pPr>
        <w:rPr>
          <w:rtl/>
          <w:lang w:bidi="ar-EG"/>
        </w:rPr>
      </w:pPr>
      <w:r>
        <w:rPr>
          <w:rFonts w:hint="cs"/>
          <w:rtl/>
        </w:rPr>
        <w:t>ووفقاً لأحكام كل من القرار </w:t>
      </w:r>
      <w:r>
        <w:t>122</w:t>
      </w:r>
      <w:r>
        <w:rPr>
          <w:rFonts w:hint="cs"/>
          <w:rtl/>
          <w:lang w:bidi="ar-EG"/>
        </w:rPr>
        <w:t xml:space="preserve"> (المراجَع في غوادالاخارا، </w:t>
      </w:r>
      <w:r>
        <w:rPr>
          <w:lang w:bidi="ar-EG"/>
        </w:rPr>
        <w:t>2010</w:t>
      </w:r>
      <w:r>
        <w:rPr>
          <w:rFonts w:hint="cs"/>
          <w:rtl/>
          <w:lang w:bidi="ar-EG"/>
        </w:rPr>
        <w:t xml:space="preserve">) لمؤتمر المندوبين المفوضين </w:t>
      </w:r>
      <w:r w:rsidR="00BF50CB">
        <w:rPr>
          <w:rFonts w:hint="cs"/>
          <w:rtl/>
          <w:lang w:bidi="ar-EG"/>
        </w:rPr>
        <w:t>والقرار</w:t>
      </w:r>
      <w:r>
        <w:rPr>
          <w:rFonts w:hint="cs"/>
          <w:rtl/>
          <w:lang w:bidi="ar-EG"/>
        </w:rPr>
        <w:t xml:space="preserve"> 1272 (المعدَّل) لمجلس الاتحاد الدولي للاتصالات، تُحال استنتاجات الندوة العالمية الرابعة للمعايير لعام </w:t>
      </w:r>
      <w:r>
        <w:rPr>
          <w:lang w:bidi="ar-EG"/>
        </w:rPr>
        <w:t>2020</w:t>
      </w:r>
      <w:r>
        <w:rPr>
          <w:rFonts w:hint="cs"/>
          <w:rtl/>
          <w:lang w:bidi="ar-EG"/>
        </w:rPr>
        <w:t xml:space="preserve"> المفصلة في</w:t>
      </w:r>
      <w:r>
        <w:rPr>
          <w:rFonts w:hint="eastAsia"/>
          <w:rtl/>
          <w:lang w:bidi="ar-EG"/>
        </w:rPr>
        <w:t> </w:t>
      </w:r>
      <w:r>
        <w:rPr>
          <w:rFonts w:hint="cs"/>
          <w:rtl/>
          <w:lang w:bidi="ar-EG"/>
        </w:rPr>
        <w:t xml:space="preserve">هذا التقرير إلى الجمعية العالمية لتقييس الاتصالات </w:t>
      </w:r>
      <w:r>
        <w:rPr>
          <w:lang w:bidi="ar-EG"/>
        </w:rPr>
        <w:t>(WTSA</w:t>
      </w:r>
      <w:r>
        <w:rPr>
          <w:lang w:bidi="ar-EG"/>
        </w:rPr>
        <w:noBreakHyphen/>
        <w:t>20)</w:t>
      </w:r>
      <w:r>
        <w:rPr>
          <w:rFonts w:hint="cs"/>
          <w:rtl/>
          <w:lang w:bidi="ar-EG"/>
        </w:rPr>
        <w:t xml:space="preserve"> لتنظر فيها.</w:t>
      </w:r>
    </w:p>
    <w:p w14:paraId="5DAD5D03" w14:textId="77777777" w:rsidR="004A3FE7" w:rsidRPr="008F6138" w:rsidRDefault="004A3FE7" w:rsidP="004A3FE7">
      <w:pPr>
        <w:pStyle w:val="Heading1"/>
        <w:rPr>
          <w:color w:val="052D53"/>
          <w:rtl/>
        </w:rPr>
      </w:pPr>
      <w:r w:rsidRPr="008F6138">
        <w:rPr>
          <w:color w:val="052D53"/>
        </w:rPr>
        <w:t>2</w:t>
      </w:r>
      <w:r w:rsidRPr="008F6138">
        <w:rPr>
          <w:color w:val="052D53"/>
        </w:rPr>
        <w:tab/>
      </w:r>
      <w:r w:rsidRPr="008F6138">
        <w:rPr>
          <w:rFonts w:hint="cs"/>
          <w:color w:val="052D53"/>
          <w:rtl/>
        </w:rPr>
        <w:t xml:space="preserve">الاستنتاجات الرئيسية التي خلصت إليها الندوة العالمية الرابعة للمعايير لعام </w:t>
      </w:r>
      <w:r w:rsidRPr="008F6138">
        <w:rPr>
          <w:color w:val="052D53"/>
        </w:rPr>
        <w:t>2020</w:t>
      </w:r>
    </w:p>
    <w:p w14:paraId="5ED6213E" w14:textId="77777777" w:rsidR="004A3FE7" w:rsidRDefault="004A3FE7" w:rsidP="00174F2F">
      <w:pPr>
        <w:pStyle w:val="Heading2"/>
        <w:ind w:left="794" w:hanging="794"/>
        <w:rPr>
          <w:rtl/>
        </w:rPr>
      </w:pPr>
      <w:r>
        <w:rPr>
          <w:rFonts w:hint="cs"/>
          <w:rtl/>
        </w:rPr>
        <w:t>1.2</w:t>
      </w:r>
      <w:r>
        <w:rPr>
          <w:rtl/>
        </w:rPr>
        <w:tab/>
      </w:r>
      <w:r>
        <w:rPr>
          <w:rFonts w:hint="cs"/>
          <w:rtl/>
        </w:rPr>
        <w:t>معلومات محدَّثة في سياق التعاون العالمي بشأن المعايير من أجل تحقيق التحول الرقمي المستدام لتحقيق أهداف التنمية المستدامة</w:t>
      </w:r>
    </w:p>
    <w:p w14:paraId="57C6299A" w14:textId="77777777" w:rsidR="004A3FE7" w:rsidRPr="008F6138" w:rsidRDefault="004A3FE7" w:rsidP="004A3FE7">
      <w:pPr>
        <w:rPr>
          <w:i/>
          <w:iCs/>
          <w:rtl/>
          <w:lang w:bidi="ar-EG"/>
        </w:rPr>
      </w:pPr>
      <w:r w:rsidRPr="008F6138">
        <w:rPr>
          <w:rFonts w:hint="cs"/>
          <w:i/>
          <w:iCs/>
          <w:rtl/>
          <w:lang w:bidi="ar-EG"/>
        </w:rPr>
        <w:t xml:space="preserve">إن الندوة العالمية الرابعة للمعايير لعام </w:t>
      </w:r>
      <w:r w:rsidRPr="008F6138">
        <w:rPr>
          <w:i/>
          <w:iCs/>
          <w:lang w:bidi="ar-EG"/>
        </w:rPr>
        <w:t>2020</w:t>
      </w:r>
      <w:r w:rsidRPr="008F6138">
        <w:rPr>
          <w:rFonts w:hint="cs"/>
          <w:i/>
          <w:iCs/>
          <w:rtl/>
          <w:lang w:bidi="ar-EG"/>
        </w:rPr>
        <w:t>،</w:t>
      </w:r>
    </w:p>
    <w:p w14:paraId="6836F03B" w14:textId="77777777" w:rsidR="004A3FE7" w:rsidRPr="008F6138" w:rsidRDefault="004A3FE7" w:rsidP="004A3FE7">
      <w:pPr>
        <w:rPr>
          <w:i/>
          <w:iCs/>
          <w:rtl/>
          <w:lang w:bidi="ar-EG"/>
        </w:rPr>
      </w:pPr>
      <w:r w:rsidRPr="008F6138">
        <w:rPr>
          <w:rFonts w:hint="cs"/>
          <w:i/>
          <w:iCs/>
          <w:rtl/>
          <w:lang w:bidi="ar-EG"/>
        </w:rPr>
        <w:t xml:space="preserve">إذ تُدرك أن الاتحاد الدولي للاتصالات </w:t>
      </w:r>
      <w:r w:rsidRPr="008F6138">
        <w:rPr>
          <w:i/>
          <w:iCs/>
          <w:lang w:bidi="ar-EG"/>
        </w:rPr>
        <w:t>(ITU)</w:t>
      </w:r>
      <w:r w:rsidRPr="008F6138">
        <w:rPr>
          <w:rFonts w:hint="cs"/>
          <w:i/>
          <w:iCs/>
          <w:rtl/>
          <w:lang w:bidi="ar-EG"/>
        </w:rPr>
        <w:t xml:space="preserve">، والمنظمة الدولية للتوحيد القياسي </w:t>
      </w:r>
      <w:r w:rsidRPr="008F6138">
        <w:rPr>
          <w:i/>
          <w:iCs/>
          <w:lang w:bidi="ar-EG"/>
        </w:rPr>
        <w:t>(ISO)</w:t>
      </w:r>
      <w:r w:rsidRPr="008F6138">
        <w:rPr>
          <w:rFonts w:hint="cs"/>
          <w:i/>
          <w:iCs/>
          <w:rtl/>
          <w:lang w:bidi="ar-EG"/>
        </w:rPr>
        <w:t xml:space="preserve">، واللجنة الكهرتقنية الدولية </w:t>
      </w:r>
      <w:r w:rsidRPr="008F6138">
        <w:rPr>
          <w:i/>
          <w:iCs/>
          <w:lang w:bidi="ar-EG"/>
        </w:rPr>
        <w:t>(IEC)</w:t>
      </w:r>
      <w:r w:rsidRPr="008F6138">
        <w:rPr>
          <w:rFonts w:hint="cs"/>
          <w:i/>
          <w:iCs/>
          <w:rtl/>
          <w:lang w:bidi="ar-EG"/>
        </w:rPr>
        <w:t xml:space="preserve"> تضطلع بدور قيادي في تيسير جهود التقييس العالمية الرامية إلى تحقيق التحول الرقمي المستدام وتنسيقها،</w:t>
      </w:r>
    </w:p>
    <w:p w14:paraId="1EAAE7DE" w14:textId="71156C6D" w:rsidR="004A3FE7" w:rsidRPr="008F6138" w:rsidRDefault="009515E5" w:rsidP="004A3FE7">
      <w:pPr>
        <w:pStyle w:val="enumlev10"/>
        <w:rPr>
          <w:rtl/>
        </w:rPr>
      </w:pPr>
      <w:r>
        <w:rPr>
          <w:rFonts w:hint="cs"/>
        </w:rPr>
        <w:lastRenderedPageBreak/>
        <w:sym w:font="Wingdings" w:char="F0A7"/>
      </w:r>
      <w:r w:rsidR="004A3FE7" w:rsidRPr="008F6138">
        <w:rPr>
          <w:rtl/>
        </w:rPr>
        <w:tab/>
      </w:r>
      <w:r w:rsidR="004A3FE7" w:rsidRPr="008F6138">
        <w:rPr>
          <w:rFonts w:hint="cs"/>
          <w:rtl/>
        </w:rPr>
        <w:t xml:space="preserve">تدعو إلى مواصلة التعاون فيما بين المنظمات الدولية المعنية بوضع المعايير </w:t>
      </w:r>
      <w:r w:rsidR="004A3FE7" w:rsidRPr="008F6138">
        <w:t>(SDO)</w:t>
      </w:r>
      <w:r w:rsidR="004A3FE7" w:rsidRPr="008F6138">
        <w:rPr>
          <w:rFonts w:hint="cs"/>
          <w:rtl/>
        </w:rPr>
        <w:t xml:space="preserve">، بما فيها الاتحاد الدولي للاتصالات </w:t>
      </w:r>
      <w:r w:rsidR="004A3FE7" w:rsidRPr="008F6138">
        <w:t>(ITU)</w:t>
      </w:r>
      <w:r w:rsidR="004A3FE7" w:rsidRPr="008F6138">
        <w:rPr>
          <w:rFonts w:hint="cs"/>
          <w:rtl/>
        </w:rPr>
        <w:t xml:space="preserve">، واللجنة الكهرتقنية الدولية </w:t>
      </w:r>
      <w:r w:rsidR="004A3FE7" w:rsidRPr="008F6138">
        <w:t>(IEC)</w:t>
      </w:r>
      <w:r w:rsidR="004A3FE7" w:rsidRPr="008F6138">
        <w:rPr>
          <w:rFonts w:hint="cs"/>
          <w:rtl/>
        </w:rPr>
        <w:t xml:space="preserve">، والمنظمة الدولية للتوحيد القياسي </w:t>
      </w:r>
      <w:r w:rsidR="004A3FE7" w:rsidRPr="008F6138">
        <w:t>(ISO)</w:t>
      </w:r>
      <w:r w:rsidR="004A3FE7" w:rsidRPr="008F6138">
        <w:rPr>
          <w:rFonts w:hint="cs"/>
          <w:rtl/>
        </w:rPr>
        <w:t xml:space="preserve">، وكذلك فيما بين غيرها من الكيانات المعنية بوضع المعايير كالمعهد الأوروبي لمعايير الاتصالات </w:t>
      </w:r>
      <w:r w:rsidR="004A3FE7" w:rsidRPr="008F6138">
        <w:t>(ETSI)</w:t>
      </w:r>
      <w:r w:rsidR="004A3FE7" w:rsidRPr="008F6138">
        <w:rPr>
          <w:rFonts w:hint="cs"/>
          <w:rtl/>
        </w:rPr>
        <w:t xml:space="preserve">، ومعهد مهندسي الكهرباء والإلكترونيات </w:t>
      </w:r>
      <w:r w:rsidR="004A3FE7" w:rsidRPr="008F6138">
        <w:t>(IEEE)</w:t>
      </w:r>
      <w:r w:rsidR="004A3FE7" w:rsidRPr="008F6138">
        <w:rPr>
          <w:rFonts w:hint="cs"/>
          <w:rtl/>
        </w:rPr>
        <w:t>، و</w:t>
      </w:r>
      <w:r w:rsidR="004A3FE7" w:rsidRPr="008F6138">
        <w:rPr>
          <w:rtl/>
        </w:rPr>
        <w:t>فريق مهام هندسة الإنترنت</w:t>
      </w:r>
      <w:r w:rsidR="004A3FE7" w:rsidRPr="008F6138">
        <w:rPr>
          <w:rFonts w:hint="cs"/>
          <w:rtl/>
        </w:rPr>
        <w:t xml:space="preserve"> </w:t>
      </w:r>
      <w:r w:rsidR="004A3FE7" w:rsidRPr="008F6138">
        <w:t>(IETF)</w:t>
      </w:r>
      <w:r w:rsidR="004A3FE7" w:rsidRPr="008F6138">
        <w:rPr>
          <w:rFonts w:hint="cs"/>
          <w:rtl/>
        </w:rPr>
        <w:t xml:space="preserve">، واتحاد شبكة الويب العالمية </w:t>
      </w:r>
      <w:r w:rsidR="004A3FE7" w:rsidRPr="008F6138">
        <w:t>(W3C)</w:t>
      </w:r>
      <w:r w:rsidR="004A3FE7" w:rsidRPr="008F6138">
        <w:rPr>
          <w:rFonts w:hint="cs"/>
          <w:rtl/>
        </w:rPr>
        <w:t>، و</w:t>
      </w:r>
      <w:r w:rsidR="004A3FE7" w:rsidRPr="008F6138">
        <w:rPr>
          <w:rtl/>
        </w:rPr>
        <w:t>مشروع شراكة الجيل الثالث</w:t>
      </w:r>
      <w:r w:rsidR="004A3FE7" w:rsidRPr="008F6138">
        <w:t xml:space="preserve"> (3GPP) </w:t>
      </w:r>
      <w:r w:rsidR="004A3FE7" w:rsidRPr="008F6138">
        <w:rPr>
          <w:rFonts w:hint="cs"/>
          <w:rtl/>
        </w:rPr>
        <w:t>(ضمن كيانات أخرى)، من أجل تيسير تحقيق التحول الرقمي.</w:t>
      </w:r>
    </w:p>
    <w:p w14:paraId="1D8E00B9" w14:textId="7CF1035F" w:rsidR="004A3FE7" w:rsidRPr="008F6138" w:rsidRDefault="009515E5" w:rsidP="004A3FE7">
      <w:pPr>
        <w:pStyle w:val="enumlev10"/>
        <w:rPr>
          <w:rtl/>
        </w:rPr>
      </w:pPr>
      <w:r>
        <w:rPr>
          <w:rFonts w:hint="cs"/>
        </w:rPr>
        <w:sym w:font="Wingdings" w:char="F0A7"/>
      </w:r>
      <w:r w:rsidR="004A3FE7" w:rsidRPr="008F6138">
        <w:rPr>
          <w:rtl/>
        </w:rPr>
        <w:tab/>
      </w:r>
      <w:r w:rsidR="004A3FE7" w:rsidRPr="008F6138">
        <w:rPr>
          <w:rFonts w:hint="cs"/>
          <w:rtl/>
        </w:rPr>
        <w:t xml:space="preserve">تعمل في سبيل سد الفجوات التقييسية القائمة بين البلدان المتقدمة والبلدان النامية والتوسع في عمليات نشر التكنولوجيا، بهدف تحقيق خطة التنمية المستدامة لعام </w:t>
      </w:r>
      <w:r w:rsidR="004A3FE7" w:rsidRPr="008F6138">
        <w:t>2030</w:t>
      </w:r>
      <w:r w:rsidR="004A3FE7" w:rsidRPr="008F6138">
        <w:rPr>
          <w:rFonts w:hint="cs"/>
          <w:rtl/>
        </w:rPr>
        <w:t>.</w:t>
      </w:r>
    </w:p>
    <w:p w14:paraId="6BBE8136" w14:textId="45F1336F" w:rsidR="004A3FE7" w:rsidRPr="008F6138" w:rsidRDefault="009515E5" w:rsidP="004A3FE7">
      <w:pPr>
        <w:pStyle w:val="enumlev10"/>
      </w:pPr>
      <w:r>
        <w:rPr>
          <w:rFonts w:hint="cs"/>
        </w:rPr>
        <w:sym w:font="Wingdings" w:char="F0A7"/>
      </w:r>
      <w:r w:rsidR="004A3FE7" w:rsidRPr="008F6138">
        <w:rPr>
          <w:rtl/>
        </w:rPr>
        <w:tab/>
      </w:r>
      <w:r w:rsidR="004A3FE7" w:rsidRPr="008F6138">
        <w:rPr>
          <w:rFonts w:hint="cs"/>
          <w:rtl/>
        </w:rPr>
        <w:t xml:space="preserve">تحثُّ على اعتماد معايير دولية بوصفها عاملاً </w:t>
      </w:r>
      <w:proofErr w:type="spellStart"/>
      <w:r w:rsidR="004A3FE7" w:rsidRPr="008F6138">
        <w:rPr>
          <w:rFonts w:hint="cs"/>
          <w:rtl/>
        </w:rPr>
        <w:t>تمكينياً</w:t>
      </w:r>
      <w:proofErr w:type="spellEnd"/>
      <w:r w:rsidR="004A3FE7" w:rsidRPr="008F6138">
        <w:rPr>
          <w:rFonts w:hint="cs"/>
          <w:rtl/>
        </w:rPr>
        <w:t xml:space="preserve"> رئيسياً لتحقيق التحول الرقمي، اعترافاً منها بقدرة المعايير الدولية على تيسير استمرار رقمنة المدن والمجتمعات والصناعات والقطاعات برفع مستويي الإنتاجية والكفاءة وتعزيز الأمن والتشجيع على ضمان قابلية المنصات للتشغيل بينياً.</w:t>
      </w:r>
    </w:p>
    <w:p w14:paraId="066FE3D1" w14:textId="77777777" w:rsidR="004A3FE7" w:rsidRPr="008F6138" w:rsidRDefault="004A3FE7" w:rsidP="00080B19">
      <w:pPr>
        <w:pStyle w:val="Heading2"/>
        <w:ind w:left="794" w:hanging="794"/>
        <w:rPr>
          <w:rtl/>
        </w:rPr>
      </w:pPr>
      <w:r w:rsidRPr="008F6138">
        <w:rPr>
          <w:rFonts w:hint="cs"/>
          <w:rtl/>
        </w:rPr>
        <w:t>2.2</w:t>
      </w:r>
      <w:r w:rsidRPr="008F6138">
        <w:rPr>
          <w:rtl/>
        </w:rPr>
        <w:tab/>
      </w:r>
      <w:r w:rsidRPr="008F6138">
        <w:rPr>
          <w:rFonts w:hint="cs"/>
          <w:rtl/>
        </w:rPr>
        <w:t>الحوار الرفيع المستوى بشأن فعالية المعايير الدولية في إطلاق كامل إمكانات التحول الرقمي لتحقيق أهداف التنمية المستدامة</w:t>
      </w:r>
    </w:p>
    <w:p w14:paraId="0D836B52" w14:textId="77777777" w:rsidR="004A3FE7" w:rsidRPr="00CD3092" w:rsidRDefault="004A3FE7" w:rsidP="004A3FE7">
      <w:pPr>
        <w:rPr>
          <w:i/>
          <w:iCs/>
          <w:rtl/>
          <w:lang w:bidi="ar-EG"/>
        </w:rPr>
      </w:pPr>
      <w:r w:rsidRPr="00CD3092">
        <w:rPr>
          <w:rFonts w:hint="cs"/>
          <w:i/>
          <w:iCs/>
          <w:rtl/>
          <w:lang w:bidi="ar-EG"/>
        </w:rPr>
        <w:t xml:space="preserve">إن الندوة العالمية الرابعة للمعايير لعام </w:t>
      </w:r>
      <w:r w:rsidRPr="00CD3092">
        <w:rPr>
          <w:i/>
          <w:iCs/>
          <w:lang w:bidi="ar-EG"/>
        </w:rPr>
        <w:t>2020</w:t>
      </w:r>
      <w:r w:rsidRPr="00CD3092">
        <w:rPr>
          <w:rFonts w:hint="cs"/>
          <w:i/>
          <w:iCs/>
          <w:rtl/>
          <w:lang w:bidi="ar-EG"/>
        </w:rPr>
        <w:t>،</w:t>
      </w:r>
    </w:p>
    <w:p w14:paraId="05B8EA94" w14:textId="77777777" w:rsidR="004A3FE7" w:rsidRPr="0016164A" w:rsidRDefault="004A3FE7" w:rsidP="004A3FE7">
      <w:pPr>
        <w:pStyle w:val="enumlev10"/>
        <w:tabs>
          <w:tab w:val="clear" w:pos="794"/>
        </w:tabs>
        <w:ind w:left="9" w:hanging="9"/>
        <w:rPr>
          <w:i/>
          <w:iCs/>
          <w:lang w:bidi="ar-EG"/>
        </w:rPr>
      </w:pPr>
      <w:r>
        <w:rPr>
          <w:rFonts w:hint="cs"/>
          <w:i/>
          <w:iCs/>
          <w:rtl/>
          <w:lang w:bidi="ar-EG"/>
        </w:rPr>
        <w:t>إذ تذكِّر بأن المعايير الدولية تؤدي دوراً حيوياً في إطلاق كامل إمكانات التحول الرقمي لبلوغ أهداف التنمية المستدامة وتنفيذ ميثاق غلاسكو للمناخ واتفاق باريس،</w:t>
      </w:r>
    </w:p>
    <w:p w14:paraId="220BF5AD" w14:textId="60C8C1F4" w:rsidR="004A3FE7" w:rsidRPr="00242FC4" w:rsidRDefault="009515E5" w:rsidP="004A3FE7">
      <w:pPr>
        <w:pStyle w:val="enumlev10"/>
        <w:rPr>
          <w:spacing w:val="-4"/>
        </w:rPr>
      </w:pPr>
      <w:r>
        <w:rPr>
          <w:rFonts w:hint="cs"/>
        </w:rPr>
        <w:sym w:font="Wingdings" w:char="F0A7"/>
      </w:r>
      <w:r w:rsidR="004A3FE7" w:rsidRPr="008F6138">
        <w:rPr>
          <w:rtl/>
        </w:rPr>
        <w:tab/>
      </w:r>
      <w:r w:rsidR="004A3FE7" w:rsidRPr="00242FC4">
        <w:rPr>
          <w:rFonts w:hint="cs"/>
          <w:spacing w:val="-4"/>
          <w:rtl/>
        </w:rPr>
        <w:t>تشكل منصة لمناقشة تحديد الخطوط التوجيهية في مجالي التكنولوجيا والرقمنة، ودور التحول الرقمي في التصدي للتحديات العالمية القائمة، ومن بينها عدم الإنصاف والفجوة الرقمية. فالاقتصادات الناشئة معرضة تحديداً للتخلف عن الركب.</w:t>
      </w:r>
    </w:p>
    <w:p w14:paraId="3FDCB362" w14:textId="6399FB7E" w:rsidR="004A3FE7" w:rsidRPr="008F6138" w:rsidRDefault="009515E5" w:rsidP="004A3FE7">
      <w:pPr>
        <w:pStyle w:val="enumlev10"/>
      </w:pPr>
      <w:r>
        <w:rPr>
          <w:rFonts w:hint="cs"/>
        </w:rPr>
        <w:sym w:font="Wingdings" w:char="F0A7"/>
      </w:r>
      <w:r w:rsidR="004A3FE7" w:rsidRPr="008F6138">
        <w:rPr>
          <w:rtl/>
        </w:rPr>
        <w:tab/>
      </w:r>
      <w:r w:rsidR="004A3FE7" w:rsidRPr="008F6138">
        <w:rPr>
          <w:rFonts w:hint="cs"/>
          <w:rtl/>
        </w:rPr>
        <w:t xml:space="preserve">تستفيد من المعايير التي استحدثها الاتحاد الدولي للاتصالات وغيره من المنظمات المعنية بوضع المعايير (مثل المنظمة الدولية للتوحيد القياسي </w:t>
      </w:r>
      <w:r w:rsidR="004A3FE7" w:rsidRPr="008F6138">
        <w:t>(ISO)</w:t>
      </w:r>
      <w:r w:rsidR="004A3FE7" w:rsidRPr="008F6138">
        <w:rPr>
          <w:rFonts w:hint="cs"/>
          <w:rtl/>
        </w:rPr>
        <w:t xml:space="preserve">، واللجنة الكهرتقنية الدولية </w:t>
      </w:r>
      <w:r w:rsidR="004A3FE7" w:rsidRPr="008F6138">
        <w:t>(IEC)</w:t>
      </w:r>
      <w:r w:rsidR="004A3FE7" w:rsidRPr="008F6138">
        <w:rPr>
          <w:rFonts w:hint="cs"/>
          <w:rtl/>
        </w:rPr>
        <w:t xml:space="preserve">، </w:t>
      </w:r>
      <w:r w:rsidR="004A3FE7">
        <w:rPr>
          <w:rFonts w:hint="cs"/>
          <w:rtl/>
        </w:rPr>
        <w:t>وكيانات أخرى معنية بوضع المعايير</w:t>
      </w:r>
      <w:r w:rsidR="004A3FE7" w:rsidRPr="008F6138">
        <w:rPr>
          <w:rFonts w:hint="cs"/>
          <w:rtl/>
        </w:rPr>
        <w:t>) في</w:t>
      </w:r>
      <w:r w:rsidR="00C24B07">
        <w:rPr>
          <w:rFonts w:hint="eastAsia"/>
          <w:rtl/>
        </w:rPr>
        <w:t> </w:t>
      </w:r>
      <w:r w:rsidR="004A3FE7" w:rsidRPr="008F6138">
        <w:rPr>
          <w:rFonts w:hint="cs"/>
          <w:rtl/>
        </w:rPr>
        <w:t>المساعدة في بناء رؤية مشتركة للتحول الرقمي، ترتكز على القيم العالمية الواردة في أهداف التنمية المستدامة. ويمكن تعزيز مثل هذا السيناريو بفتح مجال التقييس أمام فئات مختلفة من أصحاب المصلحة بحسب القطاعات أو المناطق لضمان اشتمال مساعي تحقيق التحول الرقمي على وجهات نظر ومتطلبات شتى.</w:t>
      </w:r>
    </w:p>
    <w:p w14:paraId="10DA7FA9" w14:textId="20F862E2" w:rsidR="004A3FE7" w:rsidRPr="008F6138" w:rsidRDefault="009515E5" w:rsidP="004A3FE7">
      <w:pPr>
        <w:pStyle w:val="enumlev10"/>
        <w:rPr>
          <w:rtl/>
        </w:rPr>
      </w:pPr>
      <w:r>
        <w:rPr>
          <w:rFonts w:hint="cs"/>
        </w:rPr>
        <w:sym w:font="Wingdings" w:char="F0A7"/>
      </w:r>
      <w:r w:rsidR="004A3FE7" w:rsidRPr="008F6138">
        <w:rPr>
          <w:rtl/>
        </w:rPr>
        <w:tab/>
      </w:r>
      <w:r w:rsidR="004A3FE7" w:rsidRPr="008F6138">
        <w:rPr>
          <w:rFonts w:hint="cs"/>
          <w:rtl/>
        </w:rPr>
        <w:t>تدعو الاتحاد إلى الاضطلاع بدور رئيسي بالاشتراك مع المنظمة الدولية للتوحيد القياسي واللجنة الكهرتقنية الدولية في</w:t>
      </w:r>
      <w:r w:rsidR="00C24B07">
        <w:rPr>
          <w:rFonts w:hint="eastAsia"/>
          <w:rtl/>
        </w:rPr>
        <w:t> </w:t>
      </w:r>
      <w:r w:rsidR="004A3FE7" w:rsidRPr="008F6138">
        <w:rPr>
          <w:rFonts w:hint="cs"/>
          <w:rtl/>
        </w:rPr>
        <w:t xml:space="preserve">الوصول بالانبعاثات إلى مستوى الصفر بحلول عام </w:t>
      </w:r>
      <w:r w:rsidR="004A3FE7" w:rsidRPr="008F6138">
        <w:t>2050</w:t>
      </w:r>
      <w:r w:rsidR="004A3FE7" w:rsidRPr="008F6138">
        <w:rPr>
          <w:rFonts w:hint="cs"/>
          <w:rtl/>
        </w:rPr>
        <w:t xml:space="preserve"> وإنشاء مسار في قطاع</w:t>
      </w:r>
      <w:r w:rsidR="00E86487">
        <w:rPr>
          <w:rFonts w:hint="cs"/>
          <w:rtl/>
        </w:rPr>
        <w:t xml:space="preserve"> الاتصالات/</w:t>
      </w:r>
      <w:r w:rsidR="004A3FE7" w:rsidRPr="008F6138">
        <w:rPr>
          <w:rFonts w:hint="cs"/>
          <w:rtl/>
        </w:rPr>
        <w:t xml:space="preserve">تكنولوجيا المعلومات والاتصالات لإزالة الكربون منه، وإلى أن يسهم، </w:t>
      </w:r>
      <w:r w:rsidR="000714DB">
        <w:rPr>
          <w:rFonts w:hint="cs"/>
          <w:rtl/>
        </w:rPr>
        <w:t>على سبيل المثال</w:t>
      </w:r>
      <w:r w:rsidR="004A3FE7" w:rsidRPr="008F6138">
        <w:rPr>
          <w:rFonts w:hint="cs"/>
          <w:rtl/>
        </w:rPr>
        <w:t>، إسهاماً فع</w:t>
      </w:r>
      <w:r w:rsidR="00C24B07">
        <w:rPr>
          <w:rFonts w:hint="cs"/>
          <w:rtl/>
        </w:rPr>
        <w:t>ّ</w:t>
      </w:r>
      <w:r w:rsidR="004A3FE7" w:rsidRPr="008F6138">
        <w:rPr>
          <w:rFonts w:hint="cs"/>
          <w:rtl/>
        </w:rPr>
        <w:t xml:space="preserve">الاً في مجلس المهندسين المعني بالانتقال الطاقي </w:t>
      </w:r>
      <w:r w:rsidR="004A3FE7" w:rsidRPr="008F6138">
        <w:t>(CEET)</w:t>
      </w:r>
      <w:r w:rsidR="004A3FE7" w:rsidRPr="008F6138">
        <w:rPr>
          <w:rFonts w:hint="cs"/>
          <w:rtl/>
        </w:rPr>
        <w:t xml:space="preserve">، وذلك استجابةً لقرار الأمين العام للأمم المتحدة، السيد أنطونيو </w:t>
      </w:r>
      <w:proofErr w:type="spellStart"/>
      <w:r w:rsidR="004A3FE7" w:rsidRPr="008F6138">
        <w:rPr>
          <w:rFonts w:hint="cs"/>
          <w:rtl/>
        </w:rPr>
        <w:t>غوتيريش</w:t>
      </w:r>
      <w:proofErr w:type="spellEnd"/>
      <w:r w:rsidR="004A3FE7" w:rsidRPr="008F6138">
        <w:rPr>
          <w:rFonts w:hint="cs"/>
          <w:rtl/>
        </w:rPr>
        <w:t>، إنشاء فريق خبراء يُعنى باقتراح معايير واضحة لقياس وتحليل التزامات الجهات الفاعلة من غير الدول فيما يتعلق بالوصول بالانبعاثات إلى مستوى الصفر</w:t>
      </w:r>
      <w:r w:rsidR="004A3FE7" w:rsidRPr="008F6138">
        <w:t>.</w:t>
      </w:r>
    </w:p>
    <w:p w14:paraId="29602DB1" w14:textId="66078452" w:rsidR="004A3FE7" w:rsidRPr="008F6138" w:rsidRDefault="004A3FE7" w:rsidP="00080B19">
      <w:pPr>
        <w:pStyle w:val="Heading2"/>
        <w:ind w:left="794" w:hanging="794"/>
        <w:rPr>
          <w:rtl/>
        </w:rPr>
      </w:pPr>
      <w:r w:rsidRPr="008F6138">
        <w:rPr>
          <w:rFonts w:hint="cs"/>
          <w:rtl/>
        </w:rPr>
        <w:t>3.2</w:t>
      </w:r>
      <w:r w:rsidRPr="008F6138">
        <w:rPr>
          <w:rtl/>
        </w:rPr>
        <w:tab/>
      </w:r>
      <w:r w:rsidRPr="008F6138">
        <w:rPr>
          <w:rFonts w:hint="cs"/>
          <w:rtl/>
        </w:rPr>
        <w:t>نحو مدن ومجتمعات موجهة نحو الأشخاص: حفز الابتكار والتحول الرقميين في شتى القطاعات</w:t>
      </w:r>
    </w:p>
    <w:p w14:paraId="69C5BB16" w14:textId="77777777" w:rsidR="004A3FE7" w:rsidRPr="00CD3092" w:rsidRDefault="004A3FE7" w:rsidP="004A3FE7">
      <w:pPr>
        <w:rPr>
          <w:i/>
          <w:iCs/>
          <w:rtl/>
          <w:lang w:bidi="ar-EG"/>
        </w:rPr>
      </w:pPr>
      <w:r w:rsidRPr="00CD3092">
        <w:rPr>
          <w:rFonts w:hint="cs"/>
          <w:i/>
          <w:iCs/>
          <w:rtl/>
          <w:lang w:bidi="ar-EG"/>
        </w:rPr>
        <w:t xml:space="preserve">إن الندوة العالمية الرابعة للمعايير لعام </w:t>
      </w:r>
      <w:r w:rsidRPr="00CD3092">
        <w:rPr>
          <w:i/>
          <w:iCs/>
          <w:lang w:bidi="ar-EG"/>
        </w:rPr>
        <w:t>2020</w:t>
      </w:r>
      <w:r w:rsidRPr="00CD3092">
        <w:rPr>
          <w:rFonts w:hint="cs"/>
          <w:i/>
          <w:iCs/>
          <w:rtl/>
          <w:lang w:bidi="ar-EG"/>
        </w:rPr>
        <w:t>،</w:t>
      </w:r>
    </w:p>
    <w:p w14:paraId="61A72863" w14:textId="0927F270" w:rsidR="004A3FE7" w:rsidRPr="009D1FDF" w:rsidRDefault="004A3FE7" w:rsidP="004A3FE7">
      <w:pPr>
        <w:pStyle w:val="enumlev10"/>
        <w:tabs>
          <w:tab w:val="clear" w:pos="794"/>
        </w:tabs>
        <w:ind w:left="-81" w:firstLine="81"/>
        <w:rPr>
          <w:i/>
          <w:iCs/>
          <w:rtl/>
          <w:lang w:bidi="ar-EG"/>
        </w:rPr>
      </w:pPr>
      <w:r>
        <w:rPr>
          <w:rFonts w:hint="cs"/>
          <w:i/>
          <w:iCs/>
          <w:rtl/>
          <w:lang w:bidi="ar-EG"/>
        </w:rPr>
        <w:t xml:space="preserve">إذ تذكِّر بأن المدن والمجتمعات تضطلع بدور مهَيْمن في تسريع خُطى الابتكار والتحول الرقميين نحو بناء </w:t>
      </w:r>
      <w:r w:rsidR="000714DB">
        <w:rPr>
          <w:rFonts w:hint="cs"/>
          <w:i/>
          <w:iCs/>
          <w:rtl/>
          <w:lang w:bidi="ar-EG"/>
        </w:rPr>
        <w:t>اقتصادات وإدارة</w:t>
      </w:r>
      <w:r>
        <w:rPr>
          <w:rFonts w:hint="cs"/>
          <w:i/>
          <w:iCs/>
          <w:rtl/>
          <w:lang w:bidi="ar-EG"/>
        </w:rPr>
        <w:t xml:space="preserve"> ومجتمع </w:t>
      </w:r>
      <w:r w:rsidR="000714DB">
        <w:rPr>
          <w:rFonts w:hint="cs"/>
          <w:i/>
          <w:iCs/>
          <w:rtl/>
          <w:lang w:bidi="ar-EG"/>
        </w:rPr>
        <w:t xml:space="preserve">معلومات </w:t>
      </w:r>
      <w:r>
        <w:rPr>
          <w:rFonts w:hint="cs"/>
          <w:i/>
          <w:iCs/>
          <w:rtl/>
          <w:lang w:bidi="ar-EG"/>
        </w:rPr>
        <w:t>رقم</w:t>
      </w:r>
      <w:r w:rsidR="000714DB">
        <w:rPr>
          <w:rFonts w:hint="cs"/>
          <w:i/>
          <w:iCs/>
          <w:rtl/>
          <w:lang w:bidi="ar-EG"/>
        </w:rPr>
        <w:t>ية</w:t>
      </w:r>
      <w:r>
        <w:rPr>
          <w:rFonts w:hint="cs"/>
          <w:i/>
          <w:iCs/>
          <w:rtl/>
          <w:lang w:bidi="ar-EG"/>
        </w:rPr>
        <w:t xml:space="preserve"> موجهة نحو الأشخاص، بما يشمل</w:t>
      </w:r>
      <w:r w:rsidR="000714DB">
        <w:rPr>
          <w:rFonts w:hint="cs"/>
          <w:i/>
          <w:iCs/>
          <w:rtl/>
          <w:lang w:bidi="ar-EG"/>
        </w:rPr>
        <w:t xml:space="preserve"> كذلك</w:t>
      </w:r>
      <w:r>
        <w:rPr>
          <w:rFonts w:hint="cs"/>
          <w:i/>
          <w:iCs/>
          <w:rtl/>
          <w:lang w:bidi="ar-EG"/>
        </w:rPr>
        <w:t xml:space="preserve"> قطاعات من قبيل الطاقة والمياه والصحة والزراعة والتنقل،</w:t>
      </w:r>
    </w:p>
    <w:p w14:paraId="64C53F4B" w14:textId="73DAD4EC" w:rsidR="004A3FE7" w:rsidRDefault="009515E5" w:rsidP="004A3FE7">
      <w:pPr>
        <w:pStyle w:val="enumlev10"/>
        <w:rPr>
          <w:rtl/>
          <w:lang w:bidi="ar-EG"/>
        </w:rPr>
      </w:pPr>
      <w:r>
        <w:rPr>
          <w:rFonts w:hint="cs"/>
        </w:rPr>
        <w:sym w:font="Wingdings" w:char="F0A7"/>
      </w:r>
      <w:r w:rsidR="004A3FE7">
        <w:rPr>
          <w:rtl/>
        </w:rPr>
        <w:tab/>
      </w:r>
      <w:r w:rsidR="000714DB">
        <w:rPr>
          <w:rFonts w:hint="cs"/>
          <w:rtl/>
        </w:rPr>
        <w:t>تدعو</w:t>
      </w:r>
      <w:r w:rsidR="004A3FE7">
        <w:rPr>
          <w:rFonts w:hint="cs"/>
          <w:rtl/>
          <w:lang w:bidi="ar-EG"/>
        </w:rPr>
        <w:t xml:space="preserve"> الاتحاد الدولي للاتصالات </w:t>
      </w:r>
      <w:r w:rsidR="000714DB">
        <w:rPr>
          <w:rFonts w:hint="cs"/>
          <w:rtl/>
          <w:lang w:bidi="ar-EG"/>
        </w:rPr>
        <w:t>إلى</w:t>
      </w:r>
      <w:r w:rsidR="004A3FE7">
        <w:rPr>
          <w:rFonts w:hint="cs"/>
          <w:rtl/>
          <w:lang w:bidi="ar-EG"/>
        </w:rPr>
        <w:t xml:space="preserve"> دعم أنشطة مبادرة "</w:t>
      </w:r>
      <w:hyperlink r:id="rId20" w:history="1">
        <w:r w:rsidR="004A3FE7" w:rsidRPr="008F6138">
          <w:rPr>
            <w:rStyle w:val="Hyperlink"/>
            <w:rFonts w:hint="cs"/>
            <w:rtl/>
            <w:lang w:bidi="ar-EG"/>
          </w:rPr>
          <w:t xml:space="preserve">متحدون من أجل مدن ذكية مستدامة </w:t>
        </w:r>
        <w:r w:rsidR="004A3FE7" w:rsidRPr="008F6138">
          <w:rPr>
            <w:rStyle w:val="Hyperlink"/>
            <w:lang w:bidi="ar-EG"/>
          </w:rPr>
          <w:t>(U4SSC)</w:t>
        </w:r>
      </w:hyperlink>
      <w:r w:rsidR="004A3FE7">
        <w:rPr>
          <w:rFonts w:hint="cs"/>
          <w:rtl/>
          <w:lang w:bidi="ar-EG"/>
        </w:rPr>
        <w:t xml:space="preserve">"، بالتعاون مع لجنة الأمم المتحدة الاقتصادية لأوروبا وموئل الأمم المتحدة، ومن ذلك تنفيذ كل من </w:t>
      </w:r>
      <w:hyperlink r:id="rId21" w:history="1">
        <w:r w:rsidR="004A3FE7" w:rsidRPr="008F6138">
          <w:rPr>
            <w:rStyle w:val="Hyperlink"/>
            <w:rFonts w:hint="cs"/>
            <w:rtl/>
            <w:lang w:bidi="ar-EG"/>
          </w:rPr>
          <w:t xml:space="preserve">مؤشرات الأداء الرئيسية المتعلقة بمبادرة </w:t>
        </w:r>
        <w:r w:rsidR="004A3FE7" w:rsidRPr="008F6138">
          <w:rPr>
            <w:rStyle w:val="Hyperlink"/>
            <w:lang w:bidi="ar-EG"/>
          </w:rPr>
          <w:t>U4SSC</w:t>
        </w:r>
      </w:hyperlink>
      <w:r w:rsidR="004A3FE7">
        <w:rPr>
          <w:rFonts w:hint="cs"/>
          <w:rtl/>
          <w:lang w:bidi="ar-EG"/>
        </w:rPr>
        <w:t xml:space="preserve"> (استناداً إلى </w:t>
      </w:r>
      <w:hyperlink r:id="rId22" w:history="1">
        <w:r w:rsidR="004A3FE7" w:rsidRPr="008F6138">
          <w:rPr>
            <w:rStyle w:val="Hyperlink"/>
            <w:rFonts w:hint="cs"/>
            <w:rtl/>
            <w:lang w:bidi="ar-EG"/>
          </w:rPr>
          <w:t xml:space="preserve">التوصية </w:t>
        </w:r>
        <w:r w:rsidR="004A3FE7" w:rsidRPr="008F6138">
          <w:rPr>
            <w:rStyle w:val="Hyperlink"/>
            <w:lang w:bidi="ar-EG"/>
          </w:rPr>
          <w:t>ITU-T Y.4903</w:t>
        </w:r>
        <w:r w:rsidR="004A3FE7" w:rsidRPr="008F6138">
          <w:rPr>
            <w:rStyle w:val="Hyperlink"/>
            <w:rFonts w:hint="cs"/>
            <w:rtl/>
            <w:lang w:bidi="ar-EG"/>
          </w:rPr>
          <w:t xml:space="preserve"> الصادرة عن قطاع تقييس الاتصالات بالاتحاد</w:t>
        </w:r>
      </w:hyperlink>
      <w:r w:rsidR="004A3FE7">
        <w:rPr>
          <w:rFonts w:hint="cs"/>
          <w:rtl/>
          <w:lang w:bidi="ar-EG"/>
        </w:rPr>
        <w:t>) و</w:t>
      </w:r>
      <w:hyperlink r:id="rId23" w:history="1">
        <w:r w:rsidR="004A3FE7" w:rsidRPr="008F6138">
          <w:rPr>
            <w:rStyle w:val="Hyperlink"/>
            <w:rFonts w:hint="cs"/>
            <w:rtl/>
            <w:lang w:bidi="ar-EG"/>
          </w:rPr>
          <w:t xml:space="preserve">التوصية </w:t>
        </w:r>
        <w:r w:rsidR="004A3FE7" w:rsidRPr="008F6138">
          <w:rPr>
            <w:rStyle w:val="Hyperlink"/>
            <w:lang w:bidi="ar-EG"/>
          </w:rPr>
          <w:t>ITU-T Y.4904</w:t>
        </w:r>
        <w:r w:rsidR="004A3FE7" w:rsidRPr="008F6138">
          <w:rPr>
            <w:rStyle w:val="Hyperlink"/>
            <w:rFonts w:hint="cs"/>
            <w:rtl/>
            <w:lang w:bidi="ar-EG"/>
          </w:rPr>
          <w:t xml:space="preserve"> الصادرة عن القطاع ذاته بشأن "نموذج اكتمال المدن الذكية المستدامة"</w:t>
        </w:r>
      </w:hyperlink>
      <w:r w:rsidR="004A3FE7">
        <w:rPr>
          <w:rFonts w:hint="cs"/>
          <w:rtl/>
          <w:lang w:bidi="ar-EG"/>
        </w:rPr>
        <w:t>، التي تتضمن أدوات التنفيذ اللازمة في الأجلين القصير والمتوسط لتتمكن المدن من قياس استراتيجياتها الحضرية الذكية، وتقييم مستوى تقدمها نحو بلوغ أهداف التنمية المستدامة.</w:t>
      </w:r>
      <w:r w:rsidR="004A3FE7">
        <w:rPr>
          <w:rStyle w:val="FootnoteReference"/>
          <w:rtl/>
          <w:lang w:bidi="ar-EG"/>
        </w:rPr>
        <w:footnoteReference w:id="1"/>
      </w:r>
      <w:r w:rsidR="004A3FE7">
        <w:rPr>
          <w:rFonts w:hint="cs"/>
          <w:rtl/>
          <w:lang w:bidi="ar-EG"/>
        </w:rPr>
        <w:t xml:space="preserve"> </w:t>
      </w:r>
      <w:r w:rsidR="000714DB">
        <w:rPr>
          <w:rFonts w:hint="cs"/>
          <w:rtl/>
          <w:lang w:bidi="ar-EG"/>
        </w:rPr>
        <w:t>وتشجع</w:t>
      </w:r>
      <w:r w:rsidR="004A3FE7">
        <w:rPr>
          <w:rFonts w:hint="cs"/>
          <w:rtl/>
          <w:lang w:bidi="ar-EG"/>
        </w:rPr>
        <w:t xml:space="preserve"> الاتحاد أيضاً على أن يواصل دعم إنشاء مراكز قُطرية تابعة لمبادرة </w:t>
      </w:r>
      <w:r w:rsidR="004A3FE7">
        <w:rPr>
          <w:lang w:bidi="ar-EG"/>
        </w:rPr>
        <w:t>U4SSC</w:t>
      </w:r>
      <w:r w:rsidR="004A3FE7">
        <w:rPr>
          <w:rFonts w:hint="cs"/>
          <w:rtl/>
          <w:lang w:bidi="ar-EG"/>
        </w:rPr>
        <w:t>، اغتناماً للحاجة إلى بناء التعاون والتعاضد عالمياً ووطنياً ومحلياً لبناء مدن ومجتمعات ذكية موجهة نحو الأشخاص.</w:t>
      </w:r>
    </w:p>
    <w:p w14:paraId="7E1A1E92" w14:textId="4FA1ED40" w:rsidR="004A3FE7" w:rsidRDefault="009515E5" w:rsidP="004A3FE7">
      <w:pPr>
        <w:pStyle w:val="enumlev10"/>
        <w:rPr>
          <w:lang w:bidi="ar-EG"/>
        </w:rPr>
      </w:pPr>
      <w:r>
        <w:rPr>
          <w:rFonts w:hint="cs"/>
        </w:rPr>
        <w:lastRenderedPageBreak/>
        <w:sym w:font="Wingdings" w:char="F0A7"/>
      </w:r>
      <w:r w:rsidR="004A3FE7">
        <w:rPr>
          <w:rtl/>
        </w:rPr>
        <w:tab/>
      </w:r>
      <w:r w:rsidR="004A3FE7">
        <w:rPr>
          <w:rFonts w:hint="cs"/>
          <w:rtl/>
        </w:rPr>
        <w:t xml:space="preserve">تؤكد أهمية التعاون عبر منصات مفتوحة من قبيل </w:t>
      </w:r>
      <w:hyperlink r:id="rId24" w:history="1">
        <w:r w:rsidR="004A3FE7" w:rsidRPr="002B7C3B">
          <w:rPr>
            <w:rStyle w:val="Hyperlink"/>
            <w:rFonts w:hint="cs"/>
            <w:rtl/>
          </w:rPr>
          <w:t>الفريق الم</w:t>
        </w:r>
        <w:r w:rsidR="004A3FE7" w:rsidRPr="002B7C3B">
          <w:rPr>
            <w:rStyle w:val="Hyperlink"/>
            <w:rFonts w:hint="cs"/>
            <w:rtl/>
            <w:lang w:bidi="ar-EG"/>
          </w:rPr>
          <w:t>ت</w:t>
        </w:r>
        <w:r w:rsidR="004A3FE7" w:rsidRPr="002B7C3B">
          <w:rPr>
            <w:rStyle w:val="Hyperlink"/>
            <w:rFonts w:hint="cs"/>
            <w:rtl/>
          </w:rPr>
          <w:t>خصص التابع للاتحاد الدولي للاتصالات ومنظمة</w:t>
        </w:r>
        <w:r w:rsidR="004A3FE7" w:rsidRPr="002B7C3B">
          <w:rPr>
            <w:rStyle w:val="Hyperlink"/>
            <w:rFonts w:hint="cs"/>
            <w:rtl/>
            <w:lang w:bidi="ar-EG"/>
          </w:rPr>
          <w:t xml:space="preserve"> الأغذية والزراعة</w:t>
        </w:r>
        <w:r w:rsidR="004A3FE7" w:rsidRPr="002B7C3B">
          <w:rPr>
            <w:rStyle w:val="Hyperlink"/>
            <w:rFonts w:hint="cs"/>
            <w:rtl/>
          </w:rPr>
          <w:t xml:space="preserve"> </w:t>
        </w:r>
        <w:r w:rsidR="004A3FE7" w:rsidRPr="002B7C3B">
          <w:rPr>
            <w:rStyle w:val="Hyperlink"/>
          </w:rPr>
          <w:t>(FAO)</w:t>
        </w:r>
        <w:r w:rsidR="004A3FE7" w:rsidRPr="002B7C3B">
          <w:rPr>
            <w:rStyle w:val="Hyperlink"/>
            <w:rFonts w:hint="cs"/>
            <w:rtl/>
            <w:lang w:bidi="ar-EG"/>
          </w:rPr>
          <w:t xml:space="preserve"> المعني بالذكاء الاصطناعي </w:t>
        </w:r>
        <w:r w:rsidR="004A3FE7" w:rsidRPr="002B7C3B">
          <w:rPr>
            <w:rStyle w:val="Hyperlink"/>
            <w:lang w:bidi="ar-EG"/>
          </w:rPr>
          <w:t>(AI)</w:t>
        </w:r>
        <w:r w:rsidR="004A3FE7" w:rsidRPr="002B7C3B">
          <w:rPr>
            <w:rStyle w:val="Hyperlink"/>
            <w:rFonts w:hint="cs"/>
            <w:rtl/>
            <w:lang w:bidi="ar-EG"/>
          </w:rPr>
          <w:t xml:space="preserve"> وإنترنت الأشياء </w:t>
        </w:r>
        <w:r w:rsidR="004A3FE7" w:rsidRPr="002B7C3B">
          <w:rPr>
            <w:rStyle w:val="Hyperlink"/>
            <w:lang w:bidi="ar-EG"/>
          </w:rPr>
          <w:t>(IoT)</w:t>
        </w:r>
        <w:r w:rsidR="004A3FE7" w:rsidRPr="002B7C3B">
          <w:rPr>
            <w:rStyle w:val="Hyperlink"/>
            <w:rFonts w:hint="cs"/>
            <w:rtl/>
            <w:lang w:bidi="ar-EG"/>
          </w:rPr>
          <w:t xml:space="preserve"> لأغراض الزراعة الرقمية،</w:t>
        </w:r>
      </w:hyperlink>
      <w:r w:rsidR="004A3FE7">
        <w:rPr>
          <w:rFonts w:hint="cs"/>
          <w:rtl/>
          <w:lang w:bidi="ar-EG"/>
        </w:rPr>
        <w:t xml:space="preserve"> لحفز نشر التكنولوجيات والابتكارات الرقمية في قطاع الزراعة دعماً لاستدامة الممارسات الزراعية.</w:t>
      </w:r>
    </w:p>
    <w:p w14:paraId="4B13D0AF" w14:textId="2C4763F6" w:rsidR="004A3FE7" w:rsidRDefault="009515E5" w:rsidP="004A3FE7">
      <w:pPr>
        <w:pStyle w:val="enumlev10"/>
        <w:rPr>
          <w:rtl/>
          <w:lang w:bidi="ar-EG"/>
        </w:rPr>
      </w:pPr>
      <w:r>
        <w:rPr>
          <w:rFonts w:hint="cs"/>
        </w:rPr>
        <w:sym w:font="Wingdings" w:char="F0A7"/>
      </w:r>
      <w:r w:rsidR="004A3FE7">
        <w:rPr>
          <w:rtl/>
        </w:rPr>
        <w:tab/>
      </w:r>
      <w:r w:rsidR="004A3FE7">
        <w:rPr>
          <w:rFonts w:hint="cs"/>
          <w:rtl/>
        </w:rPr>
        <w:t xml:space="preserve">تشجِّع الاتحاد على توطيد التعاون مع منتديات صناعة (مثل مشروع </w:t>
      </w:r>
      <w:r w:rsidR="004A3FE7">
        <w:t>OneM2M</w:t>
      </w:r>
      <w:r w:rsidR="004A3FE7">
        <w:rPr>
          <w:rFonts w:hint="cs"/>
          <w:rtl/>
          <w:lang w:bidi="ar-EG"/>
        </w:rPr>
        <w:t xml:space="preserve">، وتحالف </w:t>
      </w:r>
      <w:r w:rsidR="004A3FE7">
        <w:rPr>
          <w:lang w:bidi="ar-EG"/>
        </w:rPr>
        <w:t>LoRa</w:t>
      </w:r>
      <w:r w:rsidR="004A3FE7">
        <w:rPr>
          <w:rFonts w:hint="cs"/>
          <w:rtl/>
          <w:lang w:bidi="ar-EG"/>
        </w:rPr>
        <w:t xml:space="preserve">، وغيرها من المنتديات) </w:t>
      </w:r>
      <w:r w:rsidR="000714DB">
        <w:rPr>
          <w:rFonts w:hint="cs"/>
          <w:rtl/>
          <w:lang w:bidi="ar-EG"/>
        </w:rPr>
        <w:t>والكيانات</w:t>
      </w:r>
      <w:r w:rsidR="004A3FE7">
        <w:rPr>
          <w:rFonts w:hint="cs"/>
          <w:rtl/>
          <w:lang w:bidi="ar-EG"/>
        </w:rPr>
        <w:t xml:space="preserve"> الأخرى المعنية بوضع المعايير، والاستفادة من المنصات التعاونية كفريق المهام المعني بالمدن الذكية المشترك بين الاتحاد والمنظمة الدولية للتوحيد القياسي </w:t>
      </w:r>
      <w:r w:rsidR="004A3FE7">
        <w:rPr>
          <w:lang w:bidi="ar-EG"/>
        </w:rPr>
        <w:t>(ISO)</w:t>
      </w:r>
      <w:r w:rsidR="004A3FE7">
        <w:rPr>
          <w:rFonts w:hint="cs"/>
          <w:rtl/>
          <w:lang w:bidi="ar-EG"/>
        </w:rPr>
        <w:t xml:space="preserve"> واللجنة الكهرتقنية الدولية </w:t>
      </w:r>
      <w:r w:rsidR="004A3FE7">
        <w:rPr>
          <w:lang w:bidi="ar-EG"/>
        </w:rPr>
        <w:t>(IEC)</w:t>
      </w:r>
      <w:r w:rsidR="004A3FE7">
        <w:rPr>
          <w:rFonts w:hint="cs"/>
          <w:rtl/>
          <w:lang w:bidi="ar-EG"/>
        </w:rPr>
        <w:t>، من أجل تسريع التحول الرقمي في المجال الحضري.</w:t>
      </w:r>
    </w:p>
    <w:p w14:paraId="154BF3C1" w14:textId="2E3EE94C" w:rsidR="000714DB" w:rsidRPr="00816A33" w:rsidRDefault="009515E5" w:rsidP="004A3FE7">
      <w:pPr>
        <w:pStyle w:val="enumlev10"/>
        <w:rPr>
          <w:rtl/>
        </w:rPr>
      </w:pPr>
      <w:r>
        <w:rPr>
          <w:rFonts w:hint="cs"/>
          <w:lang w:bidi="ar-EG"/>
        </w:rPr>
        <w:sym w:font="Wingdings" w:char="F0A7"/>
      </w:r>
      <w:r w:rsidR="000714DB">
        <w:rPr>
          <w:rtl/>
          <w:lang w:bidi="ar-EG"/>
        </w:rPr>
        <w:tab/>
      </w:r>
      <w:r w:rsidR="00064B26">
        <w:rPr>
          <w:rFonts w:hint="cs"/>
          <w:rtl/>
          <w:lang w:bidi="ar-SA"/>
        </w:rPr>
        <w:t xml:space="preserve">تسلم </w:t>
      </w:r>
      <w:r w:rsidR="00064B26" w:rsidRPr="00064B26">
        <w:rPr>
          <w:rtl/>
          <w:lang w:bidi="ar-SA"/>
        </w:rPr>
        <w:t xml:space="preserve">بأهمية توصيلية المدارس وتعترف بمبادرة </w:t>
      </w:r>
      <w:r w:rsidR="00064B26">
        <w:rPr>
          <w:lang w:bidi="ar-SA"/>
        </w:rPr>
        <w:t>Giga</w:t>
      </w:r>
      <w:r w:rsidR="00064B26" w:rsidRPr="00064B26">
        <w:rPr>
          <w:rtl/>
          <w:lang w:bidi="ar-SA"/>
        </w:rPr>
        <w:t xml:space="preserve">، وهي مبادرة </w:t>
      </w:r>
      <w:r w:rsidR="00064B26">
        <w:rPr>
          <w:rFonts w:hint="cs"/>
          <w:rtl/>
          <w:lang w:bidi="ar-SA"/>
        </w:rPr>
        <w:t xml:space="preserve">مشتركة بين </w:t>
      </w:r>
      <w:r w:rsidR="00064B26">
        <w:rPr>
          <w:color w:val="000000"/>
          <w:rtl/>
        </w:rPr>
        <w:t>الاتحاد وصندوق الأمم المتحدة للطفولة (اليونيسف)</w:t>
      </w:r>
      <w:r w:rsidR="00064B26">
        <w:rPr>
          <w:rFonts w:hint="cs"/>
          <w:rtl/>
        </w:rPr>
        <w:t>.</w:t>
      </w:r>
    </w:p>
    <w:p w14:paraId="523996F9" w14:textId="77777777" w:rsidR="004A3FE7" w:rsidRPr="002B7C3B" w:rsidRDefault="004A3FE7" w:rsidP="00080B19">
      <w:pPr>
        <w:pStyle w:val="Heading2"/>
        <w:ind w:left="794" w:hanging="794"/>
        <w:rPr>
          <w:rtl/>
        </w:rPr>
      </w:pPr>
      <w:r w:rsidRPr="002B7C3B">
        <w:rPr>
          <w:rFonts w:hint="cs"/>
          <w:rtl/>
        </w:rPr>
        <w:t>4.2</w:t>
      </w:r>
      <w:r w:rsidRPr="002B7C3B">
        <w:rPr>
          <w:rtl/>
        </w:rPr>
        <w:tab/>
      </w:r>
      <w:r w:rsidRPr="002B7C3B">
        <w:rPr>
          <w:rFonts w:hint="cs"/>
          <w:rtl/>
        </w:rPr>
        <w:t>كيف يمكننا استدامة التحول الرقمي؟</w:t>
      </w:r>
    </w:p>
    <w:p w14:paraId="0661C0A7" w14:textId="77777777" w:rsidR="004A3FE7" w:rsidRPr="009D1FDF" w:rsidRDefault="004A3FE7" w:rsidP="004A3FE7">
      <w:pPr>
        <w:rPr>
          <w:i/>
          <w:iCs/>
          <w:lang w:bidi="ar-EG"/>
        </w:rPr>
      </w:pPr>
      <w:r w:rsidRPr="00CD3092">
        <w:rPr>
          <w:rFonts w:hint="cs"/>
          <w:i/>
          <w:iCs/>
          <w:rtl/>
          <w:lang w:bidi="ar-EG"/>
        </w:rPr>
        <w:t xml:space="preserve">إن الندوة العالمية الرابعة للمعايير لعام </w:t>
      </w:r>
      <w:r w:rsidRPr="00CD3092">
        <w:rPr>
          <w:i/>
          <w:iCs/>
          <w:lang w:bidi="ar-EG"/>
        </w:rPr>
        <w:t>2020</w:t>
      </w:r>
      <w:r w:rsidRPr="00CD3092">
        <w:rPr>
          <w:rFonts w:hint="cs"/>
          <w:i/>
          <w:iCs/>
          <w:rtl/>
          <w:lang w:bidi="ar-EG"/>
        </w:rPr>
        <w:t>،</w:t>
      </w:r>
    </w:p>
    <w:p w14:paraId="6F28733F" w14:textId="77777777" w:rsidR="004A3FE7" w:rsidRPr="009D1FDF" w:rsidRDefault="004A3FE7" w:rsidP="004A3FE7">
      <w:pPr>
        <w:pStyle w:val="enumlev10"/>
        <w:rPr>
          <w:i/>
          <w:iCs/>
          <w:lang w:bidi="ar-EG"/>
        </w:rPr>
      </w:pPr>
      <w:r>
        <w:rPr>
          <w:rFonts w:hint="cs"/>
          <w:i/>
          <w:iCs/>
          <w:rtl/>
          <w:lang w:bidi="ar-EG"/>
        </w:rPr>
        <w:t xml:space="preserve">إذ تذكِّر بأن عملية التحول الرقمي تؤدي دوراً أساسياً في تعزيز الاستدامة </w:t>
      </w:r>
      <w:r w:rsidRPr="00461BF2">
        <w:rPr>
          <w:rFonts w:hint="cs"/>
          <w:i/>
          <w:iCs/>
          <w:rtl/>
          <w:lang w:bidi="ar-EG"/>
        </w:rPr>
        <w:t>وال</w:t>
      </w:r>
      <w:r>
        <w:rPr>
          <w:rFonts w:hint="cs"/>
          <w:i/>
          <w:iCs/>
          <w:rtl/>
          <w:lang w:bidi="ar-EG"/>
        </w:rPr>
        <w:t>نهج الدائري والمرونة،</w:t>
      </w:r>
    </w:p>
    <w:p w14:paraId="7DDA3B02" w14:textId="58676301" w:rsidR="004A3FE7" w:rsidRPr="002B7C3B" w:rsidRDefault="009515E5" w:rsidP="004A3FE7">
      <w:pPr>
        <w:pStyle w:val="enumlev10"/>
        <w:rPr>
          <w:rtl/>
        </w:rPr>
      </w:pPr>
      <w:r>
        <w:rPr>
          <w:rFonts w:hint="cs"/>
        </w:rPr>
        <w:sym w:font="Wingdings" w:char="F0A7"/>
      </w:r>
      <w:r w:rsidR="004A3FE7" w:rsidRPr="002B7C3B">
        <w:rPr>
          <w:rtl/>
        </w:rPr>
        <w:tab/>
      </w:r>
      <w:r w:rsidR="004A3FE7" w:rsidRPr="002B7C3B">
        <w:rPr>
          <w:rFonts w:hint="cs"/>
          <w:rtl/>
        </w:rPr>
        <w:t>تشدِّد على ضرورة أن تتيح المعايير الدولية تسريع الانتقال إلى اقتصاد دائري صفري الانبعاثات</w:t>
      </w:r>
      <w:r w:rsidR="005D5B3A">
        <w:rPr>
          <w:rFonts w:hint="cs"/>
          <w:rtl/>
        </w:rPr>
        <w:t xml:space="preserve">، </w:t>
      </w:r>
      <w:r w:rsidR="00322003">
        <w:rPr>
          <w:rFonts w:hint="cs"/>
          <w:rtl/>
        </w:rPr>
        <w:t>يتسم بكفاءة استخدام</w:t>
      </w:r>
      <w:r w:rsidR="005D5B3A">
        <w:rPr>
          <w:rFonts w:hint="cs"/>
          <w:rtl/>
        </w:rPr>
        <w:t xml:space="preserve"> الطاقة،</w:t>
      </w:r>
      <w:r w:rsidR="004A3FE7" w:rsidRPr="002B7C3B">
        <w:rPr>
          <w:rFonts w:hint="cs"/>
          <w:rtl/>
        </w:rPr>
        <w:t xml:space="preserve"> </w:t>
      </w:r>
      <w:r w:rsidR="00322003">
        <w:rPr>
          <w:rFonts w:hint="cs"/>
          <w:rtl/>
        </w:rPr>
        <w:t>و</w:t>
      </w:r>
      <w:r w:rsidR="004A3FE7" w:rsidRPr="002B7C3B">
        <w:rPr>
          <w:rFonts w:hint="cs"/>
          <w:rtl/>
        </w:rPr>
        <w:t>يحقق أهداف التنمية المستدامة ضمن الحدود الكوكبية</w:t>
      </w:r>
      <w:r w:rsidR="00322003">
        <w:rPr>
          <w:rFonts w:hint="cs"/>
          <w:rtl/>
        </w:rPr>
        <w:t xml:space="preserve"> ويكفل حماية التنوع البيولوجي</w:t>
      </w:r>
      <w:r w:rsidR="00243625">
        <w:rPr>
          <w:rFonts w:hint="cs"/>
          <w:rtl/>
        </w:rPr>
        <w:t>.</w:t>
      </w:r>
      <w:r w:rsidR="004A3FE7" w:rsidRPr="002B7C3B">
        <w:rPr>
          <w:rFonts w:hint="cs"/>
          <w:rtl/>
        </w:rPr>
        <w:t xml:space="preserve"> وتحثُّ الاتحاد الدولي للاتصالات</w:t>
      </w:r>
      <w:r w:rsidR="00322003">
        <w:rPr>
          <w:rFonts w:hint="cs"/>
          <w:rtl/>
        </w:rPr>
        <w:t xml:space="preserve"> أيضاً</w:t>
      </w:r>
      <w:r w:rsidR="004A3FE7" w:rsidRPr="002B7C3B">
        <w:rPr>
          <w:rFonts w:hint="cs"/>
          <w:rtl/>
        </w:rPr>
        <w:t xml:space="preserve"> على مواصلة توطيد التعاون مع غيره من المنظمات المعنية بوضع المعايير، بما فيها المنظمة الدولية للتوحيد القياسي </w:t>
      </w:r>
      <w:r w:rsidR="004A3FE7" w:rsidRPr="002B7C3B">
        <w:t>(ISO)</w:t>
      </w:r>
      <w:r w:rsidR="004A3FE7" w:rsidRPr="002B7C3B">
        <w:rPr>
          <w:rFonts w:hint="cs"/>
          <w:rtl/>
        </w:rPr>
        <w:t>، واللجنة الكهرتقنية الدولية</w:t>
      </w:r>
      <w:r w:rsidR="004A3FE7">
        <w:rPr>
          <w:rFonts w:hint="eastAsia"/>
          <w:rtl/>
        </w:rPr>
        <w:t> </w:t>
      </w:r>
      <w:r w:rsidR="004A3FE7" w:rsidRPr="002B7C3B">
        <w:t>(IEC)</w:t>
      </w:r>
      <w:r w:rsidR="004A3FE7" w:rsidRPr="002B7C3B">
        <w:rPr>
          <w:rFonts w:hint="cs"/>
          <w:rtl/>
        </w:rPr>
        <w:t xml:space="preserve">، ومع غيره من </w:t>
      </w:r>
      <w:r w:rsidR="00322003">
        <w:rPr>
          <w:rFonts w:hint="cs"/>
          <w:rtl/>
        </w:rPr>
        <w:t>كيانات</w:t>
      </w:r>
      <w:r w:rsidR="004A3FE7" w:rsidRPr="002B7C3B">
        <w:rPr>
          <w:rFonts w:hint="cs"/>
          <w:rtl/>
        </w:rPr>
        <w:t xml:space="preserve"> الأمم المتحدة كبرنامج الأمم المتحدة للبيئة </w:t>
      </w:r>
      <w:r w:rsidR="004A3FE7" w:rsidRPr="002B7C3B">
        <w:t>(UNEP)</w:t>
      </w:r>
      <w:r w:rsidR="004A3FE7" w:rsidRPr="002B7C3B">
        <w:rPr>
          <w:rFonts w:hint="cs"/>
          <w:rtl/>
        </w:rPr>
        <w:t xml:space="preserve">، ومنظمة الأمم المتحدة للتنمية الصناعية </w:t>
      </w:r>
      <w:r w:rsidR="004A3FE7" w:rsidRPr="002B7C3B">
        <w:t>(UNIDO)</w:t>
      </w:r>
      <w:r w:rsidR="004A3FE7" w:rsidRPr="002B7C3B">
        <w:rPr>
          <w:rFonts w:hint="cs"/>
          <w:rtl/>
        </w:rPr>
        <w:t xml:space="preserve"> </w:t>
      </w:r>
      <w:r w:rsidR="00322003">
        <w:rPr>
          <w:rFonts w:hint="cs"/>
          <w:rtl/>
        </w:rPr>
        <w:t>والمنظمة العالمية للأرصاد الجوية</w:t>
      </w:r>
      <w:r w:rsidR="00242FC4">
        <w:rPr>
          <w:rFonts w:hint="eastAsia"/>
          <w:rtl/>
        </w:rPr>
        <w:t> </w:t>
      </w:r>
      <w:r w:rsidR="00322003">
        <w:rPr>
          <w:lang w:val="en-GB"/>
        </w:rPr>
        <w:t>(WMO)</w:t>
      </w:r>
      <w:r w:rsidR="00322003">
        <w:rPr>
          <w:rFonts w:hint="cs"/>
          <w:rtl/>
        </w:rPr>
        <w:t xml:space="preserve"> </w:t>
      </w:r>
      <w:r w:rsidR="004A3FE7" w:rsidRPr="002B7C3B">
        <w:rPr>
          <w:rFonts w:hint="cs"/>
          <w:rtl/>
        </w:rPr>
        <w:t xml:space="preserve">وأمانة اتفاقية الأمم المتحدة الإطارية بشأن تغير المناخ </w:t>
      </w:r>
      <w:r w:rsidR="004A3FE7" w:rsidRPr="002B7C3B">
        <w:t>(UNFCCC)</w:t>
      </w:r>
      <w:r w:rsidR="004A3FE7" w:rsidRPr="002B7C3B">
        <w:rPr>
          <w:rFonts w:hint="cs"/>
          <w:rtl/>
        </w:rPr>
        <w:t xml:space="preserve">، من أجل بلوغ الغايات المحددة في اتفاق باريس وميثاق غلاسكو للمناخ وبرنامج الاتحاد للتوصيل لعام </w:t>
      </w:r>
      <w:r w:rsidR="004A3FE7" w:rsidRPr="002B7C3B">
        <w:t>2030</w:t>
      </w:r>
      <w:r w:rsidR="004A3FE7" w:rsidRPr="002B7C3B">
        <w:rPr>
          <w:rFonts w:hint="cs"/>
          <w:rtl/>
        </w:rPr>
        <w:t>.</w:t>
      </w:r>
    </w:p>
    <w:p w14:paraId="3816B722" w14:textId="7E1544AD" w:rsidR="004A3FE7" w:rsidRPr="002B7C3B" w:rsidRDefault="009515E5" w:rsidP="004A3FE7">
      <w:pPr>
        <w:pStyle w:val="enumlev10"/>
        <w:rPr>
          <w:rtl/>
        </w:rPr>
      </w:pPr>
      <w:r>
        <w:rPr>
          <w:rFonts w:hint="cs"/>
        </w:rPr>
        <w:sym w:font="Wingdings" w:char="F0A7"/>
      </w:r>
      <w:r w:rsidR="004A3FE7" w:rsidRPr="002B7C3B">
        <w:rPr>
          <w:rtl/>
        </w:rPr>
        <w:tab/>
      </w:r>
      <w:r w:rsidR="004A3FE7" w:rsidRPr="002B7C3B">
        <w:rPr>
          <w:rFonts w:hint="cs"/>
          <w:rtl/>
        </w:rPr>
        <w:t>توصي الاتحاد بمواصلة استحداث معايير تدعم انتقال قطاع</w:t>
      </w:r>
      <w:r w:rsidR="00322003">
        <w:rPr>
          <w:rFonts w:hint="cs"/>
          <w:rtl/>
        </w:rPr>
        <w:t xml:space="preserve"> الاتصالات/</w:t>
      </w:r>
      <w:r w:rsidR="004A3FE7" w:rsidRPr="002B7C3B">
        <w:rPr>
          <w:rFonts w:hint="cs"/>
          <w:rtl/>
        </w:rPr>
        <w:t xml:space="preserve">تكنولوجيا الاتصالات إلى اقتصاد دائري بتقديم إرشادات عن المتطلبات اللازمة لاستحداث منتجات عالمية مستدامة. وفي هذا السياق، تقدم </w:t>
      </w:r>
      <w:hyperlink r:id="rId25" w:history="1">
        <w:r w:rsidR="004A3FE7" w:rsidRPr="002B7C3B">
          <w:rPr>
            <w:rStyle w:val="Hyperlink"/>
            <w:rFonts w:hint="cs"/>
            <w:rtl/>
          </w:rPr>
          <w:t>التوص</w:t>
        </w:r>
        <w:r w:rsidR="004A3FE7" w:rsidRPr="002B7C3B">
          <w:rPr>
            <w:rStyle w:val="Hyperlink"/>
            <w:rFonts w:hint="cs"/>
            <w:rtl/>
          </w:rPr>
          <w:t>ي</w:t>
        </w:r>
        <w:r w:rsidR="004A3FE7" w:rsidRPr="002B7C3B">
          <w:rPr>
            <w:rStyle w:val="Hyperlink"/>
            <w:rFonts w:hint="cs"/>
            <w:rtl/>
          </w:rPr>
          <w:t xml:space="preserve">ة </w:t>
        </w:r>
        <w:r w:rsidR="004A3FE7" w:rsidRPr="002B7C3B">
          <w:rPr>
            <w:rStyle w:val="Hyperlink"/>
          </w:rPr>
          <w:t>ITU-T L.1023</w:t>
        </w:r>
      </w:hyperlink>
      <w:r w:rsidR="004A3FE7" w:rsidRPr="002B7C3B">
        <w:rPr>
          <w:rFonts w:hint="cs"/>
          <w:rtl/>
        </w:rPr>
        <w:t xml:space="preserve"> إرشادات مفيدة لتصميم النهج الدائري لمنتجات</w:t>
      </w:r>
      <w:r w:rsidR="00322003">
        <w:rPr>
          <w:rFonts w:hint="cs"/>
          <w:rtl/>
        </w:rPr>
        <w:t xml:space="preserve"> الاتصالات/</w:t>
      </w:r>
      <w:r w:rsidR="004A3FE7" w:rsidRPr="002B7C3B">
        <w:rPr>
          <w:rFonts w:hint="cs"/>
          <w:rtl/>
        </w:rPr>
        <w:t>تكنولوجيا المعلومات والاتصالات والتحقق من سلامته</w:t>
      </w:r>
      <w:r w:rsidR="00322003">
        <w:rPr>
          <w:rFonts w:hint="cs"/>
          <w:rtl/>
        </w:rPr>
        <w:t>، مع مراعاة مفهوم مسؤولية المنتِج الموسعة</w:t>
      </w:r>
      <w:r w:rsidR="004A3FE7" w:rsidRPr="002B7C3B">
        <w:rPr>
          <w:rFonts w:hint="cs"/>
          <w:rtl/>
        </w:rPr>
        <w:t>.</w:t>
      </w:r>
    </w:p>
    <w:p w14:paraId="5A7C737C" w14:textId="5A943183" w:rsidR="004A3FE7" w:rsidRDefault="009515E5" w:rsidP="004A3FE7">
      <w:pPr>
        <w:pStyle w:val="enumlev10"/>
        <w:rPr>
          <w:rtl/>
        </w:rPr>
      </w:pPr>
      <w:r>
        <w:rPr>
          <w:rFonts w:hint="cs"/>
        </w:rPr>
        <w:sym w:font="Wingdings" w:char="F0A7"/>
      </w:r>
      <w:r w:rsidR="004A3FE7" w:rsidRPr="002B7C3B">
        <w:rPr>
          <w:rtl/>
        </w:rPr>
        <w:tab/>
      </w:r>
      <w:r w:rsidR="004A3FE7" w:rsidRPr="002B7C3B">
        <w:rPr>
          <w:rFonts w:hint="cs"/>
          <w:rtl/>
        </w:rPr>
        <w:t>تشجع قطاع</w:t>
      </w:r>
      <w:r w:rsidR="00CB49DF">
        <w:rPr>
          <w:rFonts w:hint="cs"/>
          <w:rtl/>
        </w:rPr>
        <w:t xml:space="preserve"> الاتصالات/</w:t>
      </w:r>
      <w:r w:rsidR="004A3FE7" w:rsidRPr="002B7C3B">
        <w:rPr>
          <w:rFonts w:hint="cs"/>
          <w:rtl/>
        </w:rPr>
        <w:t xml:space="preserve">تكنولوجيا المعلومات والاتصالات على الالتزام بتحقيق الأهداف المتعلقة بالوصول بالانبعاثات إلى مستوى الصفر، بإيلاء أولوية لخفض الانبعاثات على النطاقات </w:t>
      </w:r>
      <w:r w:rsidR="004A3FE7" w:rsidRPr="002B7C3B">
        <w:t>1</w:t>
      </w:r>
      <w:r w:rsidR="004A3FE7" w:rsidRPr="002B7C3B">
        <w:rPr>
          <w:rFonts w:hint="cs"/>
          <w:rtl/>
        </w:rPr>
        <w:t xml:space="preserve"> و</w:t>
      </w:r>
      <w:r w:rsidR="004A3FE7" w:rsidRPr="002B7C3B">
        <w:t>2</w:t>
      </w:r>
      <w:r w:rsidR="004A3FE7" w:rsidRPr="002B7C3B">
        <w:rPr>
          <w:rFonts w:hint="cs"/>
          <w:rtl/>
        </w:rPr>
        <w:t xml:space="preserve"> و</w:t>
      </w:r>
      <w:r w:rsidR="004A3FE7" w:rsidRPr="002B7C3B">
        <w:t>3</w:t>
      </w:r>
      <w:r w:rsidR="004A3FE7" w:rsidRPr="002B7C3B">
        <w:rPr>
          <w:rFonts w:hint="cs"/>
          <w:rtl/>
        </w:rPr>
        <w:t xml:space="preserve"> وفقاً </w:t>
      </w:r>
      <w:hyperlink r:id="rId26" w:history="1">
        <w:r w:rsidR="004A3FE7" w:rsidRPr="002B7C3B">
          <w:rPr>
            <w:rStyle w:val="Hyperlink"/>
            <w:rFonts w:hint="cs"/>
            <w:rtl/>
          </w:rPr>
          <w:t xml:space="preserve">للتوصية </w:t>
        </w:r>
        <w:r w:rsidR="004A3FE7" w:rsidRPr="002B7C3B">
          <w:rPr>
            <w:rStyle w:val="Hyperlink"/>
          </w:rPr>
          <w:t>ITU-T L.1471</w:t>
        </w:r>
      </w:hyperlink>
      <w:r w:rsidR="00CB49DF">
        <w:rPr>
          <w:rFonts w:hint="cs"/>
          <w:rtl/>
        </w:rPr>
        <w:t>،</w:t>
      </w:r>
      <w:r w:rsidR="004A3FE7" w:rsidRPr="002B7C3B">
        <w:rPr>
          <w:rFonts w:hint="cs"/>
          <w:rtl/>
        </w:rPr>
        <w:t xml:space="preserve"> ولا سيما بالتشديد على تخفيضات الانبعاثات التي يشهدها هذا العقد الحاسم من الزمان المحددة في </w:t>
      </w:r>
      <w:hyperlink r:id="rId27" w:history="1">
        <w:r w:rsidR="004A3FE7" w:rsidRPr="00C16ECF">
          <w:rPr>
            <w:rStyle w:val="Hyperlink"/>
            <w:rFonts w:hint="cs"/>
            <w:rtl/>
          </w:rPr>
          <w:t xml:space="preserve">التوصية </w:t>
        </w:r>
        <w:r w:rsidR="004A3FE7" w:rsidRPr="00C16ECF">
          <w:rPr>
            <w:rStyle w:val="Hyperlink"/>
          </w:rPr>
          <w:t>ITU-T L.1470</w:t>
        </w:r>
      </w:hyperlink>
      <w:r w:rsidR="004A3FE7" w:rsidRPr="00C16ECF">
        <w:rPr>
          <w:rFonts w:hint="cs"/>
          <w:rtl/>
        </w:rPr>
        <w:t>،</w:t>
      </w:r>
      <w:r w:rsidR="004A3FE7" w:rsidRPr="002B7C3B">
        <w:rPr>
          <w:rFonts w:hint="cs"/>
          <w:rtl/>
        </w:rPr>
        <w:t xml:space="preserve"> وباستحداث حلول تساعد سائر القطاعات في الحد من بصماتها البيئية.</w:t>
      </w:r>
    </w:p>
    <w:p w14:paraId="3669E2A2" w14:textId="54CA694E" w:rsidR="00CB49DF" w:rsidRPr="002B7C3B" w:rsidRDefault="009515E5" w:rsidP="004A3FE7">
      <w:pPr>
        <w:pStyle w:val="enumlev10"/>
        <w:rPr>
          <w:rtl/>
        </w:rPr>
      </w:pPr>
      <w:r>
        <w:rPr>
          <w:rFonts w:hint="cs"/>
        </w:rPr>
        <w:sym w:font="Wingdings" w:char="F0A7"/>
      </w:r>
      <w:r w:rsidR="00CB49DF">
        <w:rPr>
          <w:rtl/>
        </w:rPr>
        <w:tab/>
      </w:r>
      <w:r w:rsidR="00CB49DF" w:rsidRPr="00CB49DF">
        <w:rPr>
          <w:rtl/>
        </w:rPr>
        <w:t xml:space="preserve">تشدد على أن معايير من قبيل </w:t>
      </w:r>
      <w:hyperlink r:id="rId28" w:history="1">
        <w:r w:rsidR="007C7B32" w:rsidRPr="00900362">
          <w:rPr>
            <w:rStyle w:val="Hyperlink"/>
            <w:rFonts w:hint="cs"/>
            <w:rtl/>
          </w:rPr>
          <w:t>توصيات السلسلة</w:t>
        </w:r>
        <w:r w:rsidR="00CB49DF" w:rsidRPr="00900362">
          <w:rPr>
            <w:rStyle w:val="Hyperlink"/>
            <w:rtl/>
          </w:rPr>
          <w:t xml:space="preserve"> </w:t>
        </w:r>
        <w:r w:rsidR="00CB49DF" w:rsidRPr="00900362">
          <w:rPr>
            <w:rStyle w:val="Hyperlink"/>
          </w:rPr>
          <w:t>ITU-T L.1380</w:t>
        </w:r>
      </w:hyperlink>
      <w:r w:rsidR="00CB49DF" w:rsidRPr="00CB49DF">
        <w:rPr>
          <w:rtl/>
        </w:rPr>
        <w:t xml:space="preserve"> يمكن أن تيسر توفير الطاقة وخفض انبعاثات الكربون من خلال </w:t>
      </w:r>
      <w:r w:rsidR="003C2B09">
        <w:rPr>
          <w:rFonts w:hint="cs"/>
          <w:rtl/>
        </w:rPr>
        <w:t>تقديم</w:t>
      </w:r>
      <w:r w:rsidR="00CB49DF" w:rsidRPr="00CB49DF">
        <w:rPr>
          <w:rtl/>
        </w:rPr>
        <w:t xml:space="preserve"> </w:t>
      </w:r>
      <w:r w:rsidR="00CB49DF">
        <w:rPr>
          <w:rFonts w:hint="cs"/>
          <w:rtl/>
        </w:rPr>
        <w:t>التوجيه</w:t>
      </w:r>
      <w:r w:rsidR="00CB49DF" w:rsidRPr="00CB49DF">
        <w:rPr>
          <w:rtl/>
        </w:rPr>
        <w:t xml:space="preserve"> بشأن كيفية تحقيق الطاقة الذكية من أجل تعظيم استخدام مصادر الطاقة المتجددة </w:t>
      </w:r>
      <w:r w:rsidR="00546F0D">
        <w:rPr>
          <w:rFonts w:hint="cs"/>
          <w:rtl/>
        </w:rPr>
        <w:t>والنظيف</w:t>
      </w:r>
      <w:r w:rsidR="003C2B09">
        <w:rPr>
          <w:rFonts w:hint="cs"/>
          <w:rtl/>
        </w:rPr>
        <w:t>ة</w:t>
      </w:r>
      <w:r w:rsidR="00546F0D">
        <w:rPr>
          <w:rFonts w:hint="cs"/>
          <w:rtl/>
        </w:rPr>
        <w:t xml:space="preserve"> باستخدام</w:t>
      </w:r>
      <w:r w:rsidR="00CB49DF" w:rsidRPr="00CB49DF">
        <w:rPr>
          <w:rtl/>
        </w:rPr>
        <w:t xml:space="preserve"> التكنولوجيات الرقمية.</w:t>
      </w:r>
    </w:p>
    <w:p w14:paraId="7367379B" w14:textId="3D7DEA28" w:rsidR="004A3FE7" w:rsidRPr="002B7C3B" w:rsidRDefault="009515E5" w:rsidP="004A3FE7">
      <w:pPr>
        <w:pStyle w:val="enumlev10"/>
      </w:pPr>
      <w:r>
        <w:rPr>
          <w:rFonts w:hint="cs"/>
        </w:rPr>
        <w:sym w:font="Wingdings" w:char="F0A7"/>
      </w:r>
      <w:r w:rsidR="004A3FE7" w:rsidRPr="002B7C3B">
        <w:rPr>
          <w:rtl/>
        </w:rPr>
        <w:tab/>
      </w:r>
      <w:r w:rsidR="008D68E5" w:rsidRPr="002F53D7">
        <w:rPr>
          <w:rFonts w:hint="cs"/>
          <w:rtl/>
        </w:rPr>
        <w:t xml:space="preserve">تشجِّع </w:t>
      </w:r>
      <w:r w:rsidR="004A3FE7" w:rsidRPr="002B7C3B">
        <w:rPr>
          <w:rFonts w:hint="cs"/>
          <w:rtl/>
        </w:rPr>
        <w:t>الاتحاد على مواصلة تحديد مقاصد واستحداث معايير ومسارات وقواعد</w:t>
      </w:r>
      <w:r w:rsidR="004A3FE7" w:rsidRPr="002B7C3B">
        <w:t xml:space="preserve"> </w:t>
      </w:r>
      <w:r w:rsidR="004A3FE7" w:rsidRPr="002B7C3B">
        <w:rPr>
          <w:rFonts w:hint="cs"/>
          <w:rtl/>
        </w:rPr>
        <w:t xml:space="preserve">بيانات في هذه المجالات، </w:t>
      </w:r>
      <w:r w:rsidR="003C2B09">
        <w:rPr>
          <w:rFonts w:hint="cs"/>
          <w:rtl/>
        </w:rPr>
        <w:t>بما في ذلك التأثير على</w:t>
      </w:r>
      <w:r w:rsidR="004A3FE7" w:rsidRPr="002B7C3B">
        <w:rPr>
          <w:rFonts w:hint="cs"/>
          <w:rtl/>
        </w:rPr>
        <w:t xml:space="preserve"> التنوع البيئي، </w:t>
      </w:r>
      <w:r w:rsidR="003C2B09">
        <w:rPr>
          <w:rFonts w:hint="cs"/>
          <w:rtl/>
        </w:rPr>
        <w:t>تدعم</w:t>
      </w:r>
      <w:r w:rsidR="004A3FE7" w:rsidRPr="002B7C3B">
        <w:rPr>
          <w:rFonts w:hint="cs"/>
          <w:rtl/>
        </w:rPr>
        <w:t xml:space="preserve"> تقييم آثار قطاع</w:t>
      </w:r>
      <w:r w:rsidR="003C2B09">
        <w:rPr>
          <w:rFonts w:hint="cs"/>
          <w:rtl/>
        </w:rPr>
        <w:t xml:space="preserve"> الاتصالات/</w:t>
      </w:r>
      <w:r w:rsidR="004A3FE7" w:rsidRPr="002B7C3B">
        <w:rPr>
          <w:rFonts w:hint="cs"/>
          <w:rtl/>
        </w:rPr>
        <w:t>تكنولوجيا المعلومات والاتصالات على البيئة، وتدعم تطورها، على أساس علمي وعادل، لتعزِّز بذلك آثاره الإيجابية وتُعاكس أي آثار ضارة.</w:t>
      </w:r>
    </w:p>
    <w:p w14:paraId="59CD3429" w14:textId="76AF756D" w:rsidR="004A3FE7" w:rsidRPr="002B7C3B" w:rsidRDefault="009515E5" w:rsidP="004A3FE7">
      <w:pPr>
        <w:pStyle w:val="enumlev10"/>
        <w:rPr>
          <w:rtl/>
        </w:rPr>
      </w:pPr>
      <w:r>
        <w:rPr>
          <w:rFonts w:hint="cs"/>
        </w:rPr>
        <w:sym w:font="Wingdings" w:char="F0A7"/>
      </w:r>
      <w:r w:rsidR="004A3FE7" w:rsidRPr="002B7C3B">
        <w:rPr>
          <w:rtl/>
        </w:rPr>
        <w:tab/>
      </w:r>
      <w:r w:rsidR="004A3FE7" w:rsidRPr="002B7C3B">
        <w:rPr>
          <w:rFonts w:hint="cs"/>
          <w:rtl/>
        </w:rPr>
        <w:t>تؤكد أن المنصات المفتوحة ك</w:t>
      </w:r>
      <w:hyperlink r:id="rId29" w:history="1">
        <w:r w:rsidR="004A3FE7" w:rsidRPr="002B7C3B">
          <w:rPr>
            <w:rStyle w:val="Hyperlink"/>
            <w:rFonts w:hint="cs"/>
            <w:rtl/>
          </w:rPr>
          <w:t xml:space="preserve">الفريق المتخصص التابع للاتحاد والمعني بالكفاءة البيئية للذكاء الاصطناعي والتكنولوجيات الناشئة الأخرى </w:t>
        </w:r>
        <w:r w:rsidR="004A3FE7" w:rsidRPr="002B7C3B">
          <w:rPr>
            <w:rStyle w:val="Hyperlink"/>
          </w:rPr>
          <w:t>(FG-AI</w:t>
        </w:r>
        <w:r w:rsidR="006C503F">
          <w:rPr>
            <w:rStyle w:val="Hyperlink"/>
          </w:rPr>
          <w:t>4</w:t>
        </w:r>
        <w:r w:rsidR="004A3FE7" w:rsidRPr="002B7C3B">
          <w:rPr>
            <w:rStyle w:val="Hyperlink"/>
          </w:rPr>
          <w:t>EE)</w:t>
        </w:r>
      </w:hyperlink>
      <w:r w:rsidR="004A3FE7" w:rsidRPr="002B7C3B">
        <w:rPr>
          <w:rFonts w:hint="cs"/>
          <w:rtl/>
        </w:rPr>
        <w:t xml:space="preserve"> يمكنها أن تيسر نقل المعرفة وتحدد الاحتياجات التقييسية اللازم الوفاء بها لتحسين جانب الاستدامة من عملية التحول الرقمي.</w:t>
      </w:r>
    </w:p>
    <w:p w14:paraId="3056F6AA" w14:textId="77777777" w:rsidR="004A3FE7" w:rsidRPr="002B7C3B" w:rsidRDefault="004A3FE7" w:rsidP="00080B19">
      <w:pPr>
        <w:pStyle w:val="Heading2"/>
        <w:ind w:left="794" w:hanging="794"/>
      </w:pPr>
      <w:r w:rsidRPr="002B7C3B">
        <w:rPr>
          <w:rFonts w:hint="cs"/>
          <w:rtl/>
        </w:rPr>
        <w:t>5.2</w:t>
      </w:r>
      <w:r w:rsidRPr="002B7C3B">
        <w:rPr>
          <w:rtl/>
        </w:rPr>
        <w:tab/>
      </w:r>
      <w:r w:rsidRPr="002B7C3B">
        <w:rPr>
          <w:rFonts w:hint="cs"/>
          <w:rtl/>
        </w:rPr>
        <w:t>الذكاء الاصطناعي من أج</w:t>
      </w:r>
      <w:r w:rsidRPr="002B7C3B">
        <w:rPr>
          <w:rtl/>
        </w:rPr>
        <w:t>ل السلامة</w:t>
      </w:r>
      <w:r w:rsidRPr="002B7C3B">
        <w:rPr>
          <w:rFonts w:hint="cs"/>
          <w:rtl/>
        </w:rPr>
        <w:t xml:space="preserve"> على الطرق</w:t>
      </w:r>
    </w:p>
    <w:p w14:paraId="1341B592" w14:textId="77777777" w:rsidR="004A3FE7" w:rsidRPr="009D1FDF" w:rsidRDefault="004A3FE7" w:rsidP="004A3FE7">
      <w:pPr>
        <w:rPr>
          <w:i/>
          <w:iCs/>
          <w:lang w:bidi="ar-EG"/>
        </w:rPr>
      </w:pPr>
      <w:r w:rsidRPr="00CD3092">
        <w:rPr>
          <w:rFonts w:hint="cs"/>
          <w:i/>
          <w:iCs/>
          <w:rtl/>
          <w:lang w:bidi="ar-EG"/>
        </w:rPr>
        <w:t xml:space="preserve">إن الندوة العالمية الرابعة للمعايير لعام </w:t>
      </w:r>
      <w:r w:rsidRPr="00CD3092">
        <w:rPr>
          <w:i/>
          <w:iCs/>
          <w:lang w:bidi="ar-EG"/>
        </w:rPr>
        <w:t>2020</w:t>
      </w:r>
      <w:r w:rsidRPr="00CD3092">
        <w:rPr>
          <w:rFonts w:hint="cs"/>
          <w:i/>
          <w:iCs/>
          <w:rtl/>
          <w:lang w:bidi="ar-EG"/>
        </w:rPr>
        <w:t>،</w:t>
      </w:r>
    </w:p>
    <w:p w14:paraId="5ADF6566" w14:textId="05E91C5E" w:rsidR="004A3FE7" w:rsidRDefault="004A3FE7" w:rsidP="004A3FE7">
      <w:pPr>
        <w:pStyle w:val="enumlev10"/>
        <w:tabs>
          <w:tab w:val="clear" w:pos="794"/>
        </w:tabs>
        <w:ind w:left="9" w:hanging="9"/>
        <w:rPr>
          <w:lang w:bidi="ar-EG"/>
        </w:rPr>
      </w:pPr>
      <w:r>
        <w:rPr>
          <w:rFonts w:hint="cs"/>
          <w:i/>
          <w:iCs/>
          <w:rtl/>
          <w:lang w:bidi="ar-EG"/>
        </w:rPr>
        <w:t>إذ تذكِّر بأن الابتكار الرقمي</w:t>
      </w:r>
      <w:r w:rsidR="006C503F">
        <w:rPr>
          <w:rFonts w:hint="cs"/>
          <w:i/>
          <w:iCs/>
          <w:rtl/>
          <w:lang w:bidi="ar-EG"/>
        </w:rPr>
        <w:t xml:space="preserve"> والتوصيلية</w:t>
      </w:r>
      <w:r>
        <w:rPr>
          <w:rFonts w:hint="cs"/>
          <w:i/>
          <w:iCs/>
          <w:rtl/>
          <w:lang w:bidi="ar-EG"/>
        </w:rPr>
        <w:t xml:space="preserve"> يؤدي</w:t>
      </w:r>
      <w:r w:rsidR="006C503F">
        <w:rPr>
          <w:rFonts w:hint="cs"/>
          <w:i/>
          <w:iCs/>
          <w:rtl/>
          <w:lang w:bidi="ar-EG"/>
        </w:rPr>
        <w:t>ان</w:t>
      </w:r>
      <w:r>
        <w:rPr>
          <w:rFonts w:hint="cs"/>
          <w:i/>
          <w:iCs/>
          <w:rtl/>
          <w:lang w:bidi="ar-EG"/>
        </w:rPr>
        <w:t xml:space="preserve"> دوراً</w:t>
      </w:r>
      <w:r w:rsidR="006F0A22">
        <w:rPr>
          <w:rFonts w:hint="cs"/>
          <w:i/>
          <w:iCs/>
          <w:rtl/>
          <w:lang w:bidi="ar-EG"/>
        </w:rPr>
        <w:t xml:space="preserve"> حاسماً</w:t>
      </w:r>
      <w:r>
        <w:rPr>
          <w:rFonts w:hint="cs"/>
          <w:i/>
          <w:iCs/>
          <w:rtl/>
          <w:lang w:bidi="ar-EG"/>
        </w:rPr>
        <w:t xml:space="preserve"> </w:t>
      </w:r>
      <w:r w:rsidR="006F0A22">
        <w:rPr>
          <w:rFonts w:hint="cs"/>
          <w:i/>
          <w:iCs/>
          <w:rtl/>
          <w:lang w:bidi="ar-EG"/>
        </w:rPr>
        <w:t>و</w:t>
      </w:r>
      <w:r>
        <w:rPr>
          <w:rFonts w:hint="cs"/>
          <w:i/>
          <w:iCs/>
          <w:rtl/>
          <w:lang w:bidi="ar-EG"/>
        </w:rPr>
        <w:t>مهماً في إتاحة القيادة بأنظمة مساعِدة والقيادة المؤتمتة وضمان سلامة الجميع على الطرق،</w:t>
      </w:r>
    </w:p>
    <w:p w14:paraId="4741DF35" w14:textId="502E4F54" w:rsidR="004A3FE7" w:rsidRDefault="009515E5" w:rsidP="00FC715A">
      <w:pPr>
        <w:pStyle w:val="enumlev10"/>
        <w:keepNext/>
        <w:keepLines/>
        <w:rPr>
          <w:lang w:val="en-GB" w:bidi="ar-EG"/>
        </w:rPr>
      </w:pPr>
      <w:r>
        <w:rPr>
          <w:rFonts w:hint="cs"/>
          <w:lang w:val="en-GB"/>
        </w:rPr>
        <w:lastRenderedPageBreak/>
        <w:sym w:font="Wingdings" w:char="F0A7"/>
      </w:r>
      <w:r w:rsidR="004A3FE7">
        <w:rPr>
          <w:rtl/>
          <w:lang w:val="en-GB"/>
        </w:rPr>
        <w:tab/>
      </w:r>
      <w:r w:rsidR="004A3FE7">
        <w:rPr>
          <w:rFonts w:hint="cs"/>
          <w:rtl/>
          <w:lang w:val="en-GB"/>
        </w:rPr>
        <w:t xml:space="preserve">تسلِّط الضوء على دور الاتحاد الدولي للاتصالات وغيره من المنظمات المعنية بوضع المعايير وكيانات الأمم المتحدة في تسخير </w:t>
      </w:r>
      <w:r w:rsidR="006F0A22">
        <w:rPr>
          <w:rFonts w:hint="cs"/>
          <w:rtl/>
          <w:lang w:val="en-GB"/>
        </w:rPr>
        <w:t xml:space="preserve">إمكانات </w:t>
      </w:r>
      <w:r w:rsidR="004A3FE7">
        <w:rPr>
          <w:rFonts w:hint="cs"/>
          <w:rtl/>
          <w:lang w:val="en-GB"/>
        </w:rPr>
        <w:t>الذكاء الاصطناعي وغيره من التكنولوجيات الرقمية في تعزيز السلامة على الطرق بتحسين عمليتي جمع وتحليل بيانات التصادم</w:t>
      </w:r>
      <w:r w:rsidR="004A3FE7">
        <w:rPr>
          <w:rFonts w:hint="cs"/>
          <w:rtl/>
          <w:lang w:val="en-GB" w:bidi="ar-EG"/>
        </w:rPr>
        <w:t xml:space="preserve">، والبنية التحتية للاتصالات، ورفع كفاءة الاستجابة التالية لحوادث التصادم، واستلهام تطوير وظائف السلامة على الطرق من </w:t>
      </w:r>
      <w:r w:rsidR="004A3FE7">
        <w:rPr>
          <w:rFonts w:hint="cs"/>
          <w:rtl/>
          <w:lang w:bidi="ar-EG"/>
        </w:rPr>
        <w:t>معدلات انتشار الهواتف المتنقلة.</w:t>
      </w:r>
      <w:r w:rsidR="004A3FE7">
        <w:rPr>
          <w:rFonts w:hint="cs"/>
          <w:rtl/>
          <w:lang w:val="en-GB" w:bidi="ar-EG"/>
        </w:rPr>
        <w:t xml:space="preserve"> </w:t>
      </w:r>
      <w:r w:rsidR="004A3FE7">
        <w:rPr>
          <w:rFonts w:hint="cs"/>
          <w:rtl/>
          <w:lang w:bidi="ar-EG"/>
        </w:rPr>
        <w:t xml:space="preserve">وقد أطلق الاتحاد بالاشتراك مع مكتب مبعوث الأمين العام المعني بالتكنولوجيا والمبعوث الخاص </w:t>
      </w:r>
      <w:r w:rsidR="004A3FE7" w:rsidRPr="00AC2C6E">
        <w:rPr>
          <w:rtl/>
          <w:lang w:val="en-GB"/>
        </w:rPr>
        <w:t xml:space="preserve">للأمين العام للأمم المتحدة المعني بالسلامة على الطرق </w:t>
      </w:r>
      <w:hyperlink r:id="rId30" w:anchor=":~:text=The%20focus%20of%20this%20new,road%20fatalities%20and%20injuries%20occur." w:history="1">
        <w:r w:rsidR="004A3FE7" w:rsidRPr="009D1FDF">
          <w:rPr>
            <w:rStyle w:val="Hyperlink"/>
            <w:rtl/>
            <w:lang w:val="en-GB" w:bidi="ar-EG"/>
          </w:rPr>
          <w:t>مبادرة الذكاء الاصطناعي للسلامة على الطرق</w:t>
        </w:r>
      </w:hyperlink>
      <w:r w:rsidR="006F0A22">
        <w:rPr>
          <w:rFonts w:hint="cs"/>
          <w:rtl/>
          <w:lang w:val="en-GB" w:bidi="ar-EG"/>
        </w:rPr>
        <w:t xml:space="preserve"> لدعم البلدان النامية على وجه الخصوص </w:t>
      </w:r>
      <w:r w:rsidR="00F54FC6">
        <w:rPr>
          <w:rFonts w:hint="cs"/>
          <w:rtl/>
          <w:lang w:val="en-GB" w:bidi="ar-EG"/>
        </w:rPr>
        <w:t>ل</w:t>
      </w:r>
      <w:r w:rsidR="006F0A22">
        <w:rPr>
          <w:rFonts w:hint="cs"/>
          <w:rtl/>
          <w:lang w:val="en-GB" w:bidi="ar-EG"/>
        </w:rPr>
        <w:t>لاستفادة الكاملة من التكنولوجيات المتاحة التي تهدف إلى تحسين السلامة على الطرق بما في ذلك دعم جمع البيانات.</w:t>
      </w:r>
    </w:p>
    <w:p w14:paraId="1DD4DF3B" w14:textId="52BDA82A" w:rsidR="000B3249" w:rsidRDefault="009515E5" w:rsidP="004A3FE7">
      <w:pPr>
        <w:pStyle w:val="enumlev10"/>
        <w:rPr>
          <w:rtl/>
          <w:lang w:val="en-GB" w:bidi="ar-EG"/>
        </w:rPr>
      </w:pPr>
      <w:r>
        <w:rPr>
          <w:rFonts w:hint="cs"/>
          <w:lang w:val="en-GB" w:bidi="ar-EG"/>
        </w:rPr>
        <w:sym w:font="Wingdings" w:char="F0A7"/>
      </w:r>
      <w:r w:rsidR="004A3FE7">
        <w:rPr>
          <w:rtl/>
          <w:lang w:val="en-GB" w:bidi="ar-EG"/>
        </w:rPr>
        <w:tab/>
      </w:r>
      <w:r w:rsidR="00F54FC6">
        <w:rPr>
          <w:rFonts w:hint="cs"/>
          <w:rtl/>
          <w:lang w:val="en-GB" w:bidi="ar-EG"/>
        </w:rPr>
        <w:t>تعزز</w:t>
      </w:r>
      <w:r w:rsidR="004A3FE7">
        <w:rPr>
          <w:rFonts w:hint="cs"/>
          <w:rtl/>
          <w:lang w:val="en-GB" w:bidi="ar-EG"/>
        </w:rPr>
        <w:t xml:space="preserve"> أهمية المعايير التي </w:t>
      </w:r>
      <w:r w:rsidR="00F54FC6">
        <w:rPr>
          <w:rFonts w:hint="cs"/>
          <w:rtl/>
          <w:lang w:val="en-GB" w:bidi="ar-EG"/>
        </w:rPr>
        <w:t xml:space="preserve">تضعها منظمات التقييس والتنظيم ذات الصلة في مجال اختصاص كل منها، بما في ذلك الاتحاد الدولي للاتصالات والمنظمة الدولية للتوحيد القياسي وكذلك </w:t>
      </w:r>
      <w:r w:rsidR="000B3249">
        <w:rPr>
          <w:color w:val="000000"/>
          <w:rtl/>
        </w:rPr>
        <w:t xml:space="preserve">اللجنة الاقتصادية لأوروبا التابعة للأمم المتحدة </w:t>
      </w:r>
      <w:r w:rsidR="004A3FE7">
        <w:rPr>
          <w:rFonts w:hint="cs"/>
          <w:rtl/>
          <w:lang w:val="en-GB" w:bidi="ar-EG"/>
        </w:rPr>
        <w:t>وغيره</w:t>
      </w:r>
      <w:r w:rsidR="000B3249">
        <w:rPr>
          <w:rFonts w:hint="cs"/>
          <w:rtl/>
          <w:lang w:val="en-GB" w:bidi="ar-EG"/>
        </w:rPr>
        <w:t>ا</w:t>
      </w:r>
      <w:r w:rsidR="004A3FE7">
        <w:rPr>
          <w:rFonts w:hint="cs"/>
          <w:rtl/>
          <w:lang w:val="en-GB" w:bidi="ar-EG"/>
        </w:rPr>
        <w:t xml:space="preserve"> من الكيانات المعنية بوضع المعايير/اللوائح في سد فجوة السلامة على الطرق</w:t>
      </w:r>
      <w:r w:rsidR="000B3249">
        <w:rPr>
          <w:rFonts w:hint="cs"/>
          <w:rtl/>
          <w:lang w:val="en-GB" w:bidi="ar-EG"/>
        </w:rPr>
        <w:t>.</w:t>
      </w:r>
    </w:p>
    <w:p w14:paraId="451CD656" w14:textId="54B647E6" w:rsidR="004A3FE7" w:rsidRPr="00AC2C6E" w:rsidRDefault="009515E5" w:rsidP="004A3FE7">
      <w:pPr>
        <w:pStyle w:val="enumlev10"/>
        <w:rPr>
          <w:rtl/>
          <w:lang w:val="en-GB" w:bidi="ar-EG"/>
        </w:rPr>
      </w:pPr>
      <w:r>
        <w:rPr>
          <w:rFonts w:hint="cs"/>
          <w:lang w:val="en-GB" w:bidi="ar-EG"/>
        </w:rPr>
        <w:sym w:font="Wingdings" w:char="F0A7"/>
      </w:r>
      <w:r w:rsidR="000B3249">
        <w:rPr>
          <w:rtl/>
          <w:lang w:val="en-GB" w:bidi="ar-EG"/>
        </w:rPr>
        <w:tab/>
      </w:r>
      <w:r w:rsidR="003F398A">
        <w:rPr>
          <w:rFonts w:hint="cs"/>
          <w:rtl/>
          <w:lang w:val="en-GB" w:bidi="ar-EG"/>
        </w:rPr>
        <w:t>تشجع</w:t>
      </w:r>
      <w:r w:rsidR="000B3249">
        <w:rPr>
          <w:rFonts w:hint="cs"/>
          <w:rtl/>
          <w:lang w:val="en-GB" w:bidi="ar-EG"/>
        </w:rPr>
        <w:t xml:space="preserve"> الاتحاد على تقديم التوجيه الإضافي اللازم للاتصالات </w:t>
      </w:r>
      <w:r w:rsidR="004A3FE7">
        <w:rPr>
          <w:rFonts w:hint="cs"/>
          <w:rtl/>
          <w:lang w:val="en-GB" w:bidi="ar-EG"/>
        </w:rPr>
        <w:t>في مجال الاتصالات</w:t>
      </w:r>
      <w:r w:rsidR="000B3249">
        <w:rPr>
          <w:rFonts w:hint="cs"/>
          <w:rtl/>
          <w:lang w:val="en-GB" w:bidi="ar-EG"/>
        </w:rPr>
        <w:t xml:space="preserve"> والتوصيلية</w:t>
      </w:r>
      <w:r w:rsidR="004A3FE7">
        <w:rPr>
          <w:rFonts w:hint="cs"/>
          <w:rtl/>
          <w:lang w:val="en-GB" w:bidi="ar-EG"/>
        </w:rPr>
        <w:t xml:space="preserve"> </w:t>
      </w:r>
      <w:r w:rsidR="000B3249">
        <w:rPr>
          <w:rFonts w:hint="cs"/>
          <w:rtl/>
          <w:lang w:val="en-GB" w:bidi="ar-EG"/>
        </w:rPr>
        <w:t>بشأن</w:t>
      </w:r>
      <w:r w:rsidR="004A3FE7">
        <w:rPr>
          <w:rFonts w:hint="cs"/>
          <w:rtl/>
          <w:lang w:val="en-GB" w:bidi="ar-EG"/>
        </w:rPr>
        <w:t xml:space="preserve"> نشر المركبات الذاتية القيادة،</w:t>
      </w:r>
      <w:r w:rsidR="000B3249">
        <w:rPr>
          <w:rFonts w:hint="cs"/>
          <w:rtl/>
          <w:lang w:val="en-GB" w:bidi="ar-EG"/>
        </w:rPr>
        <w:t xml:space="preserve"> وتشجع في هذا الصدد</w:t>
      </w:r>
      <w:r w:rsidR="004A3FE7">
        <w:rPr>
          <w:rFonts w:hint="cs"/>
          <w:rtl/>
          <w:lang w:val="en-GB" w:bidi="ar-EG"/>
        </w:rPr>
        <w:t xml:space="preserve"> </w:t>
      </w:r>
      <w:hyperlink r:id="rId31" w:history="1">
        <w:r w:rsidR="004A3FE7" w:rsidRPr="00202D97">
          <w:rPr>
            <w:rStyle w:val="Hyperlink"/>
            <w:rFonts w:hint="cs"/>
            <w:rtl/>
            <w:lang w:val="en-GB" w:bidi="ar-EG"/>
          </w:rPr>
          <w:t>الفريق المتخصص التابع للاتحاد والمعني</w:t>
        </w:r>
        <w:r w:rsidR="000B3249">
          <w:rPr>
            <w:rStyle w:val="Hyperlink"/>
            <w:rFonts w:hint="cs"/>
            <w:rtl/>
            <w:lang w:val="en-GB" w:bidi="ar-EG"/>
          </w:rPr>
          <w:t xml:space="preserve"> بالذكاء الاصطناعي لأغراض</w:t>
        </w:r>
        <w:r w:rsidR="004A3FE7" w:rsidRPr="00202D97">
          <w:rPr>
            <w:rStyle w:val="Hyperlink"/>
            <w:rFonts w:hint="cs"/>
            <w:rtl/>
            <w:lang w:val="en-GB" w:bidi="ar-EG"/>
          </w:rPr>
          <w:t xml:space="preserve"> القيادة الذاتية والقيادة بأنظمة مساعِدة </w:t>
        </w:r>
        <w:r w:rsidR="004A3FE7" w:rsidRPr="00202D97">
          <w:rPr>
            <w:rStyle w:val="Hyperlink"/>
            <w:lang w:bidi="ar-EG"/>
          </w:rPr>
          <w:t>(FG-AI4AD)</w:t>
        </w:r>
      </w:hyperlink>
      <w:r w:rsidR="004A3FE7">
        <w:rPr>
          <w:rFonts w:hint="cs"/>
          <w:rtl/>
          <w:lang w:bidi="ar-EG"/>
        </w:rPr>
        <w:t xml:space="preserve"> على مواصلة جهوده </w:t>
      </w:r>
      <w:r w:rsidR="000B3249">
        <w:rPr>
          <w:rFonts w:hint="cs"/>
          <w:rtl/>
          <w:lang w:bidi="ar-EG"/>
        </w:rPr>
        <w:t>الجارية قبل التقييس</w:t>
      </w:r>
      <w:r w:rsidR="004A3FE7">
        <w:rPr>
          <w:rFonts w:hint="cs"/>
          <w:rtl/>
          <w:lang w:bidi="ar-EG"/>
        </w:rPr>
        <w:t xml:space="preserve">، بهدف ضمان أن </w:t>
      </w:r>
      <w:r w:rsidR="004A3FE7">
        <w:rPr>
          <w:rFonts w:hint="cs"/>
          <w:rtl/>
          <w:lang w:val="en-GB" w:bidi="ar-EG"/>
        </w:rPr>
        <w:t>يرقى أداء الذكاء الاصطناعي على الطرق إلى مستوى أداء قائد المركبة البشري، أو يفوقه.</w:t>
      </w:r>
    </w:p>
    <w:p w14:paraId="7E577229" w14:textId="77777777" w:rsidR="004A3FE7" w:rsidRPr="00202D97" w:rsidRDefault="004A3FE7" w:rsidP="00080B19">
      <w:pPr>
        <w:pStyle w:val="Heading2"/>
        <w:ind w:left="794" w:hanging="794"/>
        <w:rPr>
          <w:rtl/>
        </w:rPr>
      </w:pPr>
      <w:r w:rsidRPr="00202D97">
        <w:rPr>
          <w:rFonts w:hint="cs"/>
          <w:rtl/>
        </w:rPr>
        <w:t>6.2</w:t>
      </w:r>
      <w:r w:rsidRPr="00202D97">
        <w:rPr>
          <w:rtl/>
        </w:rPr>
        <w:tab/>
      </w:r>
      <w:r w:rsidRPr="00202D97">
        <w:rPr>
          <w:rFonts w:hint="cs"/>
          <w:rtl/>
        </w:rPr>
        <w:t>تكنولوجيات الصحة الرقمية من أج</w:t>
      </w:r>
      <w:r w:rsidRPr="00202D97">
        <w:rPr>
          <w:rtl/>
        </w:rPr>
        <w:t>ل النفاذ</w:t>
      </w:r>
      <w:r w:rsidRPr="00202D97">
        <w:rPr>
          <w:rFonts w:hint="cs"/>
          <w:rtl/>
        </w:rPr>
        <w:t xml:space="preserve"> المنصف إلى خدمات الرعاية الصحية</w:t>
      </w:r>
    </w:p>
    <w:p w14:paraId="7BC395B0" w14:textId="77777777" w:rsidR="004A3FE7" w:rsidRPr="009D1FDF" w:rsidRDefault="004A3FE7" w:rsidP="004A3FE7">
      <w:pPr>
        <w:rPr>
          <w:i/>
          <w:iCs/>
          <w:lang w:bidi="ar-EG"/>
        </w:rPr>
      </w:pPr>
      <w:r w:rsidRPr="00CD3092">
        <w:rPr>
          <w:rFonts w:hint="cs"/>
          <w:i/>
          <w:iCs/>
          <w:rtl/>
          <w:lang w:bidi="ar-EG"/>
        </w:rPr>
        <w:t xml:space="preserve">إن الندوة العالمية الرابعة للمعايير لعام </w:t>
      </w:r>
      <w:r w:rsidRPr="00CD3092">
        <w:rPr>
          <w:i/>
          <w:iCs/>
          <w:lang w:bidi="ar-EG"/>
        </w:rPr>
        <w:t>2020</w:t>
      </w:r>
      <w:r w:rsidRPr="00CD3092">
        <w:rPr>
          <w:rFonts w:hint="cs"/>
          <w:i/>
          <w:iCs/>
          <w:rtl/>
          <w:lang w:bidi="ar-EG"/>
        </w:rPr>
        <w:t>،</w:t>
      </w:r>
    </w:p>
    <w:p w14:paraId="19527873" w14:textId="278AA76C" w:rsidR="004A3FE7" w:rsidRPr="00162143" w:rsidRDefault="004A3FE7" w:rsidP="004A3FE7">
      <w:pPr>
        <w:pStyle w:val="enumlev10"/>
        <w:tabs>
          <w:tab w:val="clear" w:pos="794"/>
          <w:tab w:val="left" w:pos="9"/>
        </w:tabs>
        <w:ind w:left="9" w:firstLine="0"/>
        <w:rPr>
          <w:i/>
          <w:iCs/>
          <w:rtl/>
          <w:lang w:val="en-GB" w:bidi="ar-SA"/>
        </w:rPr>
      </w:pPr>
      <w:r>
        <w:rPr>
          <w:rFonts w:hint="cs"/>
          <w:i/>
          <w:iCs/>
          <w:rtl/>
          <w:lang w:bidi="ar-EG"/>
        </w:rPr>
        <w:t>إذ تشير إلى أن بإمكان الأنظمة الصحية الرقمية أن تُحدث تحولاً جوهرياً في خدمات الرعاية الصحية المقدمة إلى المسنين</w:t>
      </w:r>
      <w:r w:rsidR="000E1BF1">
        <w:rPr>
          <w:rFonts w:hint="cs"/>
          <w:i/>
          <w:iCs/>
          <w:rtl/>
          <w:lang w:bidi="ar-EG"/>
        </w:rPr>
        <w:t xml:space="preserve"> والفقراء وأولئك الذين يعيشون في المجتمعات الريفية</w:t>
      </w:r>
      <w:r>
        <w:rPr>
          <w:rFonts w:hint="cs"/>
          <w:i/>
          <w:iCs/>
          <w:rtl/>
          <w:lang w:bidi="ar-EG"/>
        </w:rPr>
        <w:t>، وتمكِّن المرضى من تلقِّي مستوى أفضل من الرعاية ومقدمي خدمات الرعاية الصحية من تحسين مستوى الرعاية والعلاج المقدم إلى الجميع، خاصةً أثناء حالات الطوارئ الصحية العالمية،</w:t>
      </w:r>
      <w:r w:rsidR="000E1BF1">
        <w:rPr>
          <w:rFonts w:hint="cs"/>
          <w:i/>
          <w:iCs/>
          <w:rtl/>
          <w:lang w:bidi="ar-SA"/>
        </w:rPr>
        <w:t xml:space="preserve"> وإلى الأشخاص </w:t>
      </w:r>
      <w:r w:rsidR="00162143">
        <w:rPr>
          <w:rFonts w:hint="cs"/>
          <w:i/>
          <w:iCs/>
          <w:rtl/>
          <w:lang w:bidi="ar-SA"/>
        </w:rPr>
        <w:t>المستضعفين</w:t>
      </w:r>
      <w:r w:rsidR="000E1BF1">
        <w:rPr>
          <w:rFonts w:hint="cs"/>
          <w:i/>
          <w:iCs/>
          <w:rtl/>
          <w:lang w:bidi="ar-SA"/>
        </w:rPr>
        <w:t xml:space="preserve"> وفي حالات</w:t>
      </w:r>
      <w:r w:rsidR="00162143">
        <w:rPr>
          <w:rFonts w:hint="cs"/>
          <w:i/>
          <w:iCs/>
          <w:rtl/>
          <w:lang w:bidi="ar-SA"/>
        </w:rPr>
        <w:t xml:space="preserve"> الاستغاثة</w:t>
      </w:r>
      <w:r w:rsidR="00162143">
        <w:rPr>
          <w:rFonts w:hint="cs"/>
          <w:i/>
          <w:iCs/>
          <w:rtl/>
          <w:lang w:val="en-GB" w:bidi="ar-SA"/>
        </w:rPr>
        <w:t>.</w:t>
      </w:r>
    </w:p>
    <w:p w14:paraId="0BE3A2D5" w14:textId="60D56385" w:rsidR="004A3FE7" w:rsidRPr="00202D97" w:rsidRDefault="009515E5" w:rsidP="004A3FE7">
      <w:pPr>
        <w:pStyle w:val="enumlev10"/>
      </w:pPr>
      <w:r>
        <w:rPr>
          <w:rFonts w:hint="cs"/>
        </w:rPr>
        <w:sym w:font="Wingdings" w:char="F0A7"/>
      </w:r>
      <w:r w:rsidR="004A3FE7" w:rsidRPr="00202D97">
        <w:rPr>
          <w:rtl/>
        </w:rPr>
        <w:tab/>
      </w:r>
      <w:r w:rsidR="004A3FE7" w:rsidRPr="00202D97">
        <w:rPr>
          <w:rFonts w:hint="cs"/>
          <w:rtl/>
        </w:rPr>
        <w:t xml:space="preserve">تعزِّز دور التكنولوجيات الرقمية المساهم في تحقيق الهدف </w:t>
      </w:r>
      <w:r w:rsidR="004A3FE7" w:rsidRPr="00202D97">
        <w:t>3</w:t>
      </w:r>
      <w:r w:rsidR="004A3FE7" w:rsidRPr="00202D97">
        <w:rPr>
          <w:rFonts w:hint="cs"/>
          <w:rtl/>
        </w:rPr>
        <w:t xml:space="preserve"> من أهداف التنمية المستدامة المتعلق بالصحة الجيدة والرفاه، بدعم عُلو جودة خدمات الرعاية الصحية وبتلبية احتياجات كبار السن من السكان، والهدف </w:t>
      </w:r>
      <w:r w:rsidR="004A3FE7" w:rsidRPr="00202D97">
        <w:t>9</w:t>
      </w:r>
      <w:r w:rsidR="004A3FE7" w:rsidRPr="00202D97">
        <w:rPr>
          <w:rFonts w:hint="cs"/>
          <w:rtl/>
        </w:rPr>
        <w:t xml:space="preserve"> من هذه الأهداف المتعلق بتسريع الابتكار الصناعي وعملية تطوير البنى التحتية الصناعية، وذلك بما يضمن في الوقت ذاته سهولة استخدام هذه التكنولوجيات وسهولة النفاذ إليها منذ طوْر إنشائها (وفقاً لمبدأ التصميم الشامل الذي أعلنت عنه اتفاقية الأمم المتحدة لحقوق الأشخاص ذوي الإعاقة) بهدف رفع مستويي الإقبال عليها وكفاءتها بين كبار السن، وكذلك بين الأشخاص ذوي الإعاقة والأشخاص ذوي الاحتياجات الخاصة.</w:t>
      </w:r>
    </w:p>
    <w:p w14:paraId="36EA6AB2" w14:textId="78C1BCBD" w:rsidR="004A3FE7" w:rsidRPr="00202D97" w:rsidRDefault="009515E5" w:rsidP="004A3FE7">
      <w:pPr>
        <w:pStyle w:val="enumlev10"/>
        <w:rPr>
          <w:rtl/>
        </w:rPr>
      </w:pPr>
      <w:r>
        <w:rPr>
          <w:rFonts w:hint="cs"/>
        </w:rPr>
        <w:sym w:font="Wingdings" w:char="F0A7"/>
      </w:r>
      <w:r w:rsidR="004A3FE7" w:rsidRPr="00202D97">
        <w:rPr>
          <w:rtl/>
        </w:rPr>
        <w:tab/>
      </w:r>
      <w:r w:rsidR="004A3FE7" w:rsidRPr="00202D97">
        <w:rPr>
          <w:rFonts w:hint="cs"/>
          <w:rtl/>
        </w:rPr>
        <w:t>تشجِّع على اعتماد معايير تقنية دولية تجمع مواصفات ومنهجيات للتقييم وأُطر لمبادئ توجيهية و</w:t>
      </w:r>
      <w:r w:rsidR="004A3FE7">
        <w:rPr>
          <w:rFonts w:hint="cs"/>
          <w:rtl/>
        </w:rPr>
        <w:t xml:space="preserve">أفضل </w:t>
      </w:r>
      <w:r w:rsidR="004A3FE7" w:rsidRPr="00202D97">
        <w:rPr>
          <w:rFonts w:hint="cs"/>
          <w:rtl/>
        </w:rPr>
        <w:t xml:space="preserve">ممارسات تستهدف تحسين خدمات الرعاية الصحية الرقمية المقدمة إلى المسنين والأشخاص ذوي الإعاقة، وكذلك إلى الأشخاص ذوي الاحتياجات الخاصة، من قبيل التوصية </w:t>
      </w:r>
      <w:r w:rsidR="004A3FE7" w:rsidRPr="00202D97">
        <w:t>ITU-T F.</w:t>
      </w:r>
      <w:r w:rsidR="004A3FE7">
        <w:t>7</w:t>
      </w:r>
      <w:r w:rsidR="004A3FE7" w:rsidRPr="00202D97">
        <w:t>80.2</w:t>
      </w:r>
      <w:r w:rsidR="004A3FE7" w:rsidRPr="00202D97">
        <w:rPr>
          <w:rFonts w:hint="cs"/>
          <w:rtl/>
        </w:rPr>
        <w:t xml:space="preserve">، المحدِّدة لحالات استخدام ومتطلبات الخدمات الصحية عن بُعد التي يسهل النفاذ إليها، فضلاً عن المعيار </w:t>
      </w:r>
      <w:hyperlink r:id="rId32" w:history="1">
        <w:r w:rsidR="004A3FE7" w:rsidRPr="00EF75CD">
          <w:rPr>
            <w:rStyle w:val="Hyperlink"/>
          </w:rPr>
          <w:t>H.870</w:t>
        </w:r>
      </w:hyperlink>
      <w:r w:rsidR="004A3FE7" w:rsidRPr="00202D97">
        <w:rPr>
          <w:rFonts w:hint="cs"/>
          <w:rtl/>
        </w:rPr>
        <w:t xml:space="preserve"> المشترك بين الاتحاد ومنظمة الصحة العالمية </w:t>
      </w:r>
      <w:r w:rsidR="004A3FE7" w:rsidRPr="00202D97">
        <w:t>(WHO)</w:t>
      </w:r>
      <w:r w:rsidR="004A3FE7" w:rsidRPr="00202D97">
        <w:rPr>
          <w:rFonts w:hint="cs"/>
          <w:rtl/>
        </w:rPr>
        <w:t xml:space="preserve"> المتعلق بأجهزة وأنظمة السمع المأمونة.</w:t>
      </w:r>
    </w:p>
    <w:p w14:paraId="5A0BF3AC" w14:textId="51107DB0" w:rsidR="004A3FE7" w:rsidRPr="00AD0C67" w:rsidRDefault="009515E5" w:rsidP="004A3FE7">
      <w:pPr>
        <w:pStyle w:val="enumlev10"/>
        <w:rPr>
          <w:u w:val="single"/>
          <w:rtl/>
        </w:rPr>
      </w:pPr>
      <w:r>
        <w:rPr>
          <w:rFonts w:hint="cs"/>
        </w:rPr>
        <w:sym w:font="Wingdings" w:char="F0A7"/>
      </w:r>
      <w:r w:rsidR="004A3FE7" w:rsidRPr="00202D97">
        <w:rPr>
          <w:rtl/>
        </w:rPr>
        <w:tab/>
      </w:r>
      <w:r w:rsidR="004A3FE7" w:rsidRPr="00202D97">
        <w:rPr>
          <w:rFonts w:hint="cs"/>
          <w:rtl/>
        </w:rPr>
        <w:t xml:space="preserve">تعترف بأن التعاون على الصعيد العالمي عامل أساسي في ضمان الاستجابة في الوقت المناسب وملاءمة هذه الاستجابة وكفاءتها، وتؤكد أهمية الدور الذي تؤديه منصات الشراكات في هذا الصدد كمجلس المبادرة المشتركة المعني بالتقييس العالمي للمعلوماتية الصحية </w:t>
      </w:r>
      <w:r w:rsidR="004A3FE7" w:rsidRPr="00202D97">
        <w:t>(JIC)</w:t>
      </w:r>
      <w:r w:rsidR="004A3FE7" w:rsidRPr="00202D97">
        <w:rPr>
          <w:rFonts w:hint="cs"/>
          <w:rtl/>
        </w:rPr>
        <w:t xml:space="preserve"> </w:t>
      </w:r>
      <w:r w:rsidR="004A3FE7" w:rsidRPr="004330BE">
        <w:rPr>
          <w:rFonts w:hint="cs"/>
          <w:rtl/>
        </w:rPr>
        <w:t>و</w:t>
      </w:r>
      <w:hyperlink r:id="rId33" w:history="1">
        <w:r w:rsidR="004A3FE7" w:rsidRPr="004330BE">
          <w:rPr>
            <w:rStyle w:val="Hyperlink"/>
            <w:rFonts w:hint="cs"/>
            <w:rtl/>
          </w:rPr>
          <w:t xml:space="preserve">الفريق المتخصص المشترك بين الاتحاد ومنظمة الصحة العالمية المعني بالذكاء الاصطناعي من أجل الصحة </w:t>
        </w:r>
        <w:r w:rsidR="004A3FE7" w:rsidRPr="004330BE">
          <w:rPr>
            <w:rStyle w:val="Hyperlink"/>
          </w:rPr>
          <w:t>(FG-AI4H)</w:t>
        </w:r>
      </w:hyperlink>
      <w:r w:rsidR="004A3FE7" w:rsidRPr="004330BE">
        <w:rPr>
          <w:rFonts w:hint="cs"/>
          <w:rtl/>
        </w:rPr>
        <w:t>.</w:t>
      </w:r>
    </w:p>
    <w:p w14:paraId="178FF27E" w14:textId="77777777" w:rsidR="004A3FE7" w:rsidRPr="002F53D7" w:rsidRDefault="004A3FE7" w:rsidP="00080B19">
      <w:pPr>
        <w:pStyle w:val="Heading2"/>
        <w:ind w:left="794" w:hanging="794"/>
        <w:rPr>
          <w:rtl/>
        </w:rPr>
      </w:pPr>
      <w:r w:rsidRPr="002F53D7">
        <w:rPr>
          <w:rFonts w:hint="cs"/>
          <w:rtl/>
        </w:rPr>
        <w:t>7.2</w:t>
      </w:r>
      <w:r w:rsidRPr="002F53D7">
        <w:rPr>
          <w:rtl/>
        </w:rPr>
        <w:tab/>
      </w:r>
      <w:r w:rsidRPr="002F53D7">
        <w:rPr>
          <w:rFonts w:hint="cs"/>
          <w:rtl/>
        </w:rPr>
        <w:t xml:space="preserve">تعزيز شمول الجميع مالياً </w:t>
      </w:r>
      <w:r w:rsidRPr="002F53D7">
        <w:rPr>
          <w:rtl/>
        </w:rPr>
        <w:t>بالتحول</w:t>
      </w:r>
      <w:r w:rsidRPr="002F53D7">
        <w:rPr>
          <w:rFonts w:hint="cs"/>
          <w:rtl/>
        </w:rPr>
        <w:t xml:space="preserve"> الرقمي</w:t>
      </w:r>
    </w:p>
    <w:p w14:paraId="0856798F" w14:textId="77777777" w:rsidR="004A3FE7" w:rsidRPr="009D1FDF" w:rsidRDefault="004A3FE7" w:rsidP="004A3FE7">
      <w:pPr>
        <w:rPr>
          <w:i/>
          <w:iCs/>
          <w:lang w:bidi="ar-EG"/>
        </w:rPr>
      </w:pPr>
      <w:r w:rsidRPr="00CD3092">
        <w:rPr>
          <w:rFonts w:hint="cs"/>
          <w:i/>
          <w:iCs/>
          <w:rtl/>
          <w:lang w:bidi="ar-EG"/>
        </w:rPr>
        <w:t xml:space="preserve">إن الندوة العالمية الرابعة للمعايير لعام </w:t>
      </w:r>
      <w:r w:rsidRPr="00CD3092">
        <w:rPr>
          <w:i/>
          <w:iCs/>
          <w:lang w:bidi="ar-EG"/>
        </w:rPr>
        <w:t>2020</w:t>
      </w:r>
      <w:r w:rsidRPr="00CD3092">
        <w:rPr>
          <w:rFonts w:hint="cs"/>
          <w:i/>
          <w:iCs/>
          <w:rtl/>
          <w:lang w:bidi="ar-EG"/>
        </w:rPr>
        <w:t>،</w:t>
      </w:r>
    </w:p>
    <w:p w14:paraId="788215BF" w14:textId="77777777" w:rsidR="004A3FE7" w:rsidRPr="009D1FDF" w:rsidRDefault="004A3FE7" w:rsidP="004A3FE7">
      <w:pPr>
        <w:pStyle w:val="enumlev10"/>
        <w:tabs>
          <w:tab w:val="clear" w:pos="794"/>
          <w:tab w:val="left" w:pos="9"/>
        </w:tabs>
        <w:ind w:left="9" w:hanging="9"/>
        <w:rPr>
          <w:i/>
          <w:iCs/>
          <w:rtl/>
          <w:lang w:bidi="ar-EG"/>
        </w:rPr>
      </w:pPr>
      <w:r>
        <w:rPr>
          <w:rFonts w:hint="cs"/>
          <w:i/>
          <w:iCs/>
          <w:rtl/>
          <w:lang w:bidi="ar-EG"/>
        </w:rPr>
        <w:t>إذ تدرك أن البلدان النامية تغتنم حالياً بالفعل سعة انتشار استخدام تكنولوجيا المعلومات والاتصالات في إتاحة حصول جميع الأشخاص على الخدمات المالية،</w:t>
      </w:r>
    </w:p>
    <w:p w14:paraId="3189466F" w14:textId="0D832AB3" w:rsidR="004A3FE7" w:rsidRPr="002F53D7" w:rsidRDefault="009515E5" w:rsidP="004A3FE7">
      <w:pPr>
        <w:pStyle w:val="enumlev10"/>
      </w:pPr>
      <w:r>
        <w:rPr>
          <w:rFonts w:hint="cs"/>
        </w:rPr>
        <w:sym w:font="Wingdings" w:char="F0A7"/>
      </w:r>
      <w:r w:rsidR="004A3FE7" w:rsidRPr="002F53D7">
        <w:rPr>
          <w:rtl/>
        </w:rPr>
        <w:tab/>
      </w:r>
      <w:r w:rsidR="004A3FE7" w:rsidRPr="002F53D7">
        <w:rPr>
          <w:rFonts w:hint="cs"/>
          <w:rtl/>
        </w:rPr>
        <w:t xml:space="preserve">تشجِّع الاتحاد وغيره من المنظمات المعنية بوضع المعايير على دعم </w:t>
      </w:r>
      <w:r w:rsidR="00AD0C67">
        <w:rPr>
          <w:rFonts w:hint="cs"/>
          <w:rtl/>
        </w:rPr>
        <w:t xml:space="preserve">نتائج المبادرة العالمية للشمول المالي ووضع معايير تقنية تهدف إلى </w:t>
      </w:r>
      <w:r w:rsidR="004A3FE7" w:rsidRPr="002F53D7">
        <w:rPr>
          <w:rFonts w:hint="cs"/>
          <w:rtl/>
        </w:rPr>
        <w:t xml:space="preserve">خفض تكلفة تكنولوجيا المعلومات والاتصالات، </w:t>
      </w:r>
      <w:r w:rsidR="00E24183">
        <w:rPr>
          <w:rFonts w:hint="cs"/>
          <w:rtl/>
        </w:rPr>
        <w:t>وتعزيز</w:t>
      </w:r>
      <w:r w:rsidR="004A3FE7" w:rsidRPr="002F53D7">
        <w:rPr>
          <w:rFonts w:hint="cs"/>
          <w:rtl/>
        </w:rPr>
        <w:t xml:space="preserve"> مرونة </w:t>
      </w:r>
      <w:r w:rsidR="00E24183">
        <w:rPr>
          <w:rFonts w:hint="cs"/>
          <w:rtl/>
        </w:rPr>
        <w:t>البنية</w:t>
      </w:r>
      <w:r w:rsidR="004A3FE7" w:rsidRPr="002F53D7">
        <w:rPr>
          <w:rFonts w:hint="cs"/>
          <w:rtl/>
        </w:rPr>
        <w:t xml:space="preserve"> التحتية الرقمية، </w:t>
      </w:r>
      <w:r w:rsidR="00AD0C67">
        <w:rPr>
          <w:rFonts w:hint="cs"/>
          <w:rtl/>
        </w:rPr>
        <w:t>ودعم مستويات عالية من الأمن من أجل المعاملات المالية.</w:t>
      </w:r>
    </w:p>
    <w:p w14:paraId="7A5FE883" w14:textId="05BCFC31" w:rsidR="004A3FE7" w:rsidRPr="002F53D7" w:rsidRDefault="009515E5" w:rsidP="004A3FE7">
      <w:pPr>
        <w:pStyle w:val="enumlev10"/>
        <w:rPr>
          <w:rtl/>
        </w:rPr>
      </w:pPr>
      <w:r w:rsidRPr="009B6969">
        <w:rPr>
          <w:rFonts w:hint="cs"/>
        </w:rPr>
        <w:lastRenderedPageBreak/>
        <w:sym w:font="Wingdings" w:char="F0A7"/>
      </w:r>
      <w:r w:rsidR="004A3FE7" w:rsidRPr="009B6969">
        <w:rPr>
          <w:rtl/>
        </w:rPr>
        <w:tab/>
      </w:r>
      <w:r w:rsidR="004A3FE7" w:rsidRPr="009B6969">
        <w:rPr>
          <w:rFonts w:hint="cs"/>
          <w:rtl/>
        </w:rPr>
        <w:t xml:space="preserve">تعترف بأن </w:t>
      </w:r>
      <w:r w:rsidR="009B6969" w:rsidRPr="009B6969">
        <w:rPr>
          <w:rFonts w:hint="cs"/>
          <w:rtl/>
        </w:rPr>
        <w:t>تحسين</w:t>
      </w:r>
      <w:r w:rsidR="004A3FE7" w:rsidRPr="009B6969">
        <w:rPr>
          <w:rFonts w:hint="cs"/>
          <w:rtl/>
        </w:rPr>
        <w:t xml:space="preserve"> الشمول المالي </w:t>
      </w:r>
      <w:r w:rsidR="009B6969" w:rsidRPr="009B6969">
        <w:rPr>
          <w:rFonts w:hint="cs"/>
          <w:rtl/>
        </w:rPr>
        <w:t>و</w:t>
      </w:r>
      <w:r w:rsidR="004A3FE7" w:rsidRPr="009B6969">
        <w:rPr>
          <w:rFonts w:hint="cs"/>
          <w:rtl/>
        </w:rPr>
        <w:t>الخدمات الرقمية سيستلزمان من البلدان زيادة البنى التحتية العامة الرقمية لديها، وزيادة استخدام الأنظمة الرقمية الميسِّرة لتحسين مستوى الخدمات الحكومية كخدمات الهوية الرقمية وتبادل البيانات رقمياً والدفع الرقمي. ولتحقيق ذلك، ينبغي للحكومات أن تنظر في استحداث منافع عامة رقمية</w:t>
      </w:r>
      <w:r w:rsidR="008C0EF4" w:rsidRPr="009B6969">
        <w:rPr>
          <w:rFonts w:hint="cs"/>
          <w:rtl/>
        </w:rPr>
        <w:t xml:space="preserve"> (مثل الهوية الرقمية وما إلى ذلك)</w:t>
      </w:r>
      <w:r w:rsidR="004A3FE7" w:rsidRPr="009B6969">
        <w:rPr>
          <w:rFonts w:hint="cs"/>
          <w:rtl/>
        </w:rPr>
        <w:t xml:space="preserve">، ويمكن </w:t>
      </w:r>
      <w:hyperlink r:id="rId34" w:history="1">
        <w:r w:rsidR="004A3FE7" w:rsidRPr="009B6969">
          <w:rPr>
            <w:rStyle w:val="Hyperlink"/>
            <w:rFonts w:hint="cs"/>
            <w:rtl/>
          </w:rPr>
          <w:t xml:space="preserve">لمعيار المنفعة العامة الرقمية </w:t>
        </w:r>
        <w:r w:rsidR="004A3FE7" w:rsidRPr="009B6969">
          <w:rPr>
            <w:rStyle w:val="Hyperlink"/>
          </w:rPr>
          <w:t>(DPG)</w:t>
        </w:r>
      </w:hyperlink>
      <w:r w:rsidR="004A3FE7" w:rsidRPr="009B6969">
        <w:rPr>
          <w:rFonts w:hint="cs"/>
          <w:rtl/>
        </w:rPr>
        <w:t>، الذي يُديره تحالف المنافع العامة الرقمية، المساعدة في ضمان أمان هذه التكنولوجيات ومأمونيتها واستخدامها لأفضل الممارسات الرقمية.</w:t>
      </w:r>
    </w:p>
    <w:p w14:paraId="4C67E1C6" w14:textId="77777777" w:rsidR="004A3FE7" w:rsidRPr="002F53D7" w:rsidRDefault="004A3FE7" w:rsidP="00080B19">
      <w:pPr>
        <w:pStyle w:val="Heading2"/>
        <w:ind w:left="794" w:hanging="794"/>
      </w:pPr>
      <w:r w:rsidRPr="002F53D7">
        <w:rPr>
          <w:rFonts w:hint="cs"/>
          <w:rtl/>
        </w:rPr>
        <w:t>8.2</w:t>
      </w:r>
      <w:r w:rsidRPr="002F53D7">
        <w:rPr>
          <w:rtl/>
        </w:rPr>
        <w:tab/>
      </w:r>
      <w:r w:rsidRPr="002F53D7">
        <w:rPr>
          <w:rFonts w:hint="cs"/>
          <w:rtl/>
        </w:rPr>
        <w:t>المعايير كعوامل تمكينية رئيسية للتغلب على تحديات تسريع التحول الرقمي وتحقيق أهداف التنمية المستدامة ولزيادة فرص تحقيقهما إلى أقصى حد</w:t>
      </w:r>
    </w:p>
    <w:p w14:paraId="484D5041" w14:textId="77777777" w:rsidR="004A3FE7" w:rsidRPr="009D1FDF" w:rsidRDefault="004A3FE7" w:rsidP="004A3FE7">
      <w:pPr>
        <w:rPr>
          <w:i/>
          <w:iCs/>
          <w:lang w:bidi="ar-EG"/>
        </w:rPr>
      </w:pPr>
      <w:r w:rsidRPr="00CD3092">
        <w:rPr>
          <w:rFonts w:hint="cs"/>
          <w:i/>
          <w:iCs/>
          <w:rtl/>
          <w:lang w:bidi="ar-EG"/>
        </w:rPr>
        <w:t xml:space="preserve">إن الندوة العالمية الرابعة للمعايير لعام </w:t>
      </w:r>
      <w:r w:rsidRPr="00CD3092">
        <w:rPr>
          <w:i/>
          <w:iCs/>
          <w:lang w:bidi="ar-EG"/>
        </w:rPr>
        <w:t>2020</w:t>
      </w:r>
      <w:r w:rsidRPr="00CD3092">
        <w:rPr>
          <w:rFonts w:hint="cs"/>
          <w:i/>
          <w:iCs/>
          <w:rtl/>
          <w:lang w:bidi="ar-EG"/>
        </w:rPr>
        <w:t>،</w:t>
      </w:r>
    </w:p>
    <w:p w14:paraId="590CB9F5" w14:textId="77777777" w:rsidR="004A3FE7" w:rsidRPr="009D1FDF" w:rsidRDefault="004A3FE7" w:rsidP="004A3FE7">
      <w:pPr>
        <w:pStyle w:val="enumlev10"/>
        <w:rPr>
          <w:i/>
          <w:iCs/>
          <w:lang w:bidi="ar-EG"/>
        </w:rPr>
      </w:pPr>
      <w:r>
        <w:rPr>
          <w:rFonts w:hint="cs"/>
          <w:i/>
          <w:iCs/>
          <w:rtl/>
          <w:lang w:bidi="ar-EG"/>
        </w:rPr>
        <w:t>إذ تدرك الدور الحاسم الذي تؤديه المعايير في تعزيز التحول الرقمي وتحقيق أهداف التنمية المستدامة،</w:t>
      </w:r>
    </w:p>
    <w:p w14:paraId="5846DEDE" w14:textId="53BF779C" w:rsidR="004A3FE7" w:rsidRPr="002F53D7" w:rsidRDefault="009515E5" w:rsidP="004A3FE7">
      <w:pPr>
        <w:pStyle w:val="enumlev10"/>
        <w:rPr>
          <w:rtl/>
        </w:rPr>
      </w:pPr>
      <w:r>
        <w:rPr>
          <w:rFonts w:hint="cs"/>
        </w:rPr>
        <w:sym w:font="Wingdings" w:char="F0A7"/>
      </w:r>
      <w:r w:rsidR="004A3FE7" w:rsidRPr="002F53D7">
        <w:rPr>
          <w:rtl/>
        </w:rPr>
        <w:tab/>
      </w:r>
      <w:r w:rsidR="004A3FE7" w:rsidRPr="002F53D7">
        <w:rPr>
          <w:rFonts w:hint="cs"/>
          <w:rtl/>
        </w:rPr>
        <w:t>تحثُّ الهيئاتِ المعنية بوضع المعايير على أن تتعاون فيما بينها لمعالجة التفاوت القائم بين البلدان النامية والبلدان المتقدمة في القدرة على النفاذ إلى المعايير والأطر المؤدية إلى تسريع التحول الرقمي وعلى تنفيذها، وأن تشارك في</w:t>
      </w:r>
      <w:r w:rsidR="00604D93">
        <w:rPr>
          <w:rFonts w:hint="eastAsia"/>
          <w:rtl/>
        </w:rPr>
        <w:t> </w:t>
      </w:r>
      <w:r w:rsidR="004A3FE7" w:rsidRPr="002F53D7">
        <w:rPr>
          <w:rFonts w:hint="cs"/>
          <w:rtl/>
        </w:rPr>
        <w:t xml:space="preserve">تنمية هذه البلدان على قدم المساواة بالاستعانة بأدوات من قبيل برنامج الاتحاد الدولي للاتصالات لسد الفجوة التقييسية </w:t>
      </w:r>
      <w:r w:rsidR="004A3FE7" w:rsidRPr="002F53D7">
        <w:t>(BSG)</w:t>
      </w:r>
      <w:r w:rsidR="004A3FE7" w:rsidRPr="002F53D7">
        <w:rPr>
          <w:rFonts w:hint="cs"/>
          <w:rtl/>
        </w:rPr>
        <w:t>.</w:t>
      </w:r>
    </w:p>
    <w:p w14:paraId="31E0D5F2" w14:textId="327DE4FA" w:rsidR="004A3FE7" w:rsidRPr="002F53D7" w:rsidRDefault="009515E5" w:rsidP="004A3FE7">
      <w:pPr>
        <w:pStyle w:val="enumlev10"/>
        <w:rPr>
          <w:rtl/>
        </w:rPr>
      </w:pPr>
      <w:r>
        <w:rPr>
          <w:rFonts w:hint="cs"/>
        </w:rPr>
        <w:sym w:font="Wingdings" w:char="F0A7"/>
      </w:r>
      <w:r w:rsidR="004A3FE7" w:rsidRPr="002F53D7">
        <w:rPr>
          <w:rtl/>
        </w:rPr>
        <w:tab/>
      </w:r>
      <w:r w:rsidR="004A3FE7" w:rsidRPr="002F53D7">
        <w:rPr>
          <w:rFonts w:hint="cs"/>
          <w:rtl/>
        </w:rPr>
        <w:t xml:space="preserve">تدعو الاتحاد إلى أن يواصل الاضطلاع بدور فاعل في تيسير استعانة أعضائه بالمعايير العملية المنحى كالمسارات والمبادئ التوجيهية وفي </w:t>
      </w:r>
      <w:proofErr w:type="spellStart"/>
      <w:r w:rsidR="004A3FE7" w:rsidRPr="002F53D7">
        <w:rPr>
          <w:rFonts w:hint="cs"/>
          <w:rtl/>
        </w:rPr>
        <w:t>إطلاعهم</w:t>
      </w:r>
      <w:proofErr w:type="spellEnd"/>
      <w:r w:rsidR="004A3FE7" w:rsidRPr="002F53D7">
        <w:rPr>
          <w:rFonts w:hint="cs"/>
          <w:rtl/>
        </w:rPr>
        <w:t xml:space="preserve"> عليها، بغرض تسريع تنفيذها </w:t>
      </w:r>
      <w:proofErr w:type="gramStart"/>
      <w:r w:rsidR="004A3FE7" w:rsidRPr="002F53D7">
        <w:rPr>
          <w:rFonts w:hint="cs"/>
          <w:rtl/>
        </w:rPr>
        <w:t>محلياً</w:t>
      </w:r>
      <w:proofErr w:type="gramEnd"/>
      <w:r w:rsidR="004A3FE7" w:rsidRPr="002F53D7">
        <w:rPr>
          <w:rFonts w:hint="cs"/>
          <w:rtl/>
        </w:rPr>
        <w:t xml:space="preserve"> ووطنياً وإقليمياً وعالمياً.</w:t>
      </w:r>
    </w:p>
    <w:p w14:paraId="197C82F4" w14:textId="77777777" w:rsidR="004A3FE7" w:rsidRPr="002F53D7" w:rsidRDefault="004A3FE7" w:rsidP="004A3FE7">
      <w:pPr>
        <w:pStyle w:val="Heading1"/>
        <w:rPr>
          <w:color w:val="052D53"/>
        </w:rPr>
      </w:pPr>
      <w:r w:rsidRPr="002F53D7">
        <w:rPr>
          <w:rFonts w:hint="cs"/>
          <w:color w:val="052D53"/>
          <w:rtl/>
        </w:rPr>
        <w:t>3</w:t>
      </w:r>
      <w:r w:rsidRPr="002F53D7">
        <w:rPr>
          <w:color w:val="052D53"/>
          <w:rtl/>
        </w:rPr>
        <w:tab/>
      </w:r>
      <w:r w:rsidRPr="002F53D7">
        <w:rPr>
          <w:rFonts w:hint="cs"/>
          <w:color w:val="052D53"/>
          <w:rtl/>
        </w:rPr>
        <w:t>معلومات أساسية</w:t>
      </w:r>
    </w:p>
    <w:p w14:paraId="58B87C8B" w14:textId="270EB258" w:rsidR="004A3FE7" w:rsidRPr="002F53D7" w:rsidRDefault="009515E5" w:rsidP="004A3FE7">
      <w:pPr>
        <w:pStyle w:val="enumlev10"/>
        <w:rPr>
          <w:spacing w:val="-2"/>
          <w:rtl/>
        </w:rPr>
      </w:pPr>
      <w:r>
        <w:rPr>
          <w:rFonts w:hint="cs"/>
        </w:rPr>
        <w:sym w:font="Wingdings" w:char="F0A7"/>
      </w:r>
      <w:r w:rsidR="004A3FE7">
        <w:rPr>
          <w:rtl/>
        </w:rPr>
        <w:tab/>
      </w:r>
      <w:r w:rsidR="004A3FE7" w:rsidRPr="007B65C5">
        <w:rPr>
          <w:rFonts w:hint="cs"/>
          <w:spacing w:val="4"/>
          <w:rtl/>
        </w:rPr>
        <w:t>تشكل الندوات العالمية للمعايير</w:t>
      </w:r>
      <w:r w:rsidR="004A3FE7" w:rsidRPr="007B65C5">
        <w:rPr>
          <w:rFonts w:hint="eastAsia"/>
          <w:spacing w:val="4"/>
          <w:rtl/>
        </w:rPr>
        <w:t> </w:t>
      </w:r>
      <w:r w:rsidR="004A3FE7" w:rsidRPr="007B65C5">
        <w:rPr>
          <w:spacing w:val="4"/>
        </w:rPr>
        <w:t>(GSS)</w:t>
      </w:r>
      <w:r w:rsidR="004A3FE7" w:rsidRPr="007B65C5">
        <w:rPr>
          <w:rFonts w:hint="cs"/>
          <w:spacing w:val="4"/>
          <w:rtl/>
        </w:rPr>
        <w:t xml:space="preserve"> منصة مثالية للنقاشات الرفيعة المستوى لسياسات التقييس، تستقصي تطور ديناميات تكنولوجيا المعلومات والاتصالات</w:t>
      </w:r>
      <w:r w:rsidR="004A3FE7" w:rsidRPr="007B65C5">
        <w:rPr>
          <w:rFonts w:hint="eastAsia"/>
          <w:spacing w:val="4"/>
          <w:rtl/>
        </w:rPr>
        <w:t> </w:t>
      </w:r>
      <w:r w:rsidR="004A3FE7" w:rsidRPr="007B65C5">
        <w:rPr>
          <w:spacing w:val="4"/>
        </w:rPr>
        <w:t>(ICT)</w:t>
      </w:r>
      <w:r w:rsidR="004A3FE7" w:rsidRPr="007B65C5">
        <w:rPr>
          <w:rFonts w:hint="cs"/>
          <w:spacing w:val="4"/>
          <w:rtl/>
        </w:rPr>
        <w:t xml:space="preserve">، وما يترتب عليه من آثار على ساحة التقييس التقني الآخذة حدودها في التوسع. وقد عُقدت الندوات العالمية السابقة للمعايير في عام </w:t>
      </w:r>
      <w:r w:rsidR="004A3FE7" w:rsidRPr="007B65C5">
        <w:rPr>
          <w:spacing w:val="4"/>
        </w:rPr>
        <w:t>2008</w:t>
      </w:r>
      <w:r w:rsidR="004A3FE7" w:rsidRPr="007B65C5">
        <w:rPr>
          <w:rFonts w:hint="cs"/>
          <w:spacing w:val="4"/>
          <w:rtl/>
          <w:lang w:bidi="ar-EG"/>
        </w:rPr>
        <w:t xml:space="preserve"> في جوهانسبرغ، وعام </w:t>
      </w:r>
      <w:r w:rsidR="004A3FE7" w:rsidRPr="007B65C5">
        <w:rPr>
          <w:spacing w:val="4"/>
          <w:lang w:bidi="ar-EG"/>
        </w:rPr>
        <w:t>2012</w:t>
      </w:r>
      <w:r w:rsidR="004A3FE7" w:rsidRPr="007B65C5">
        <w:rPr>
          <w:rFonts w:hint="cs"/>
          <w:spacing w:val="4"/>
          <w:rtl/>
          <w:lang w:bidi="ar-EG"/>
        </w:rPr>
        <w:t xml:space="preserve"> في دبي، وعام </w:t>
      </w:r>
      <w:r w:rsidR="004A3FE7" w:rsidRPr="007B65C5">
        <w:rPr>
          <w:spacing w:val="4"/>
          <w:lang w:bidi="ar-EG"/>
        </w:rPr>
        <w:t>2016</w:t>
      </w:r>
      <w:r w:rsidR="004A3FE7" w:rsidRPr="007B65C5">
        <w:rPr>
          <w:rFonts w:hint="eastAsia"/>
          <w:spacing w:val="4"/>
          <w:rtl/>
          <w:lang w:bidi="ar-EG"/>
        </w:rPr>
        <w:t> </w:t>
      </w:r>
      <w:r w:rsidR="004A3FE7" w:rsidRPr="007B65C5">
        <w:rPr>
          <w:rFonts w:hint="cs"/>
          <w:spacing w:val="4"/>
          <w:rtl/>
        </w:rPr>
        <w:t xml:space="preserve">في الحمَّامات، وتسبق جمعيةَ الاتحاد الدولي للاتصالات العالمية لتقييس الاتصالات </w:t>
      </w:r>
      <w:r w:rsidR="004A3FE7" w:rsidRPr="007B65C5">
        <w:rPr>
          <w:spacing w:val="4"/>
        </w:rPr>
        <w:t>(WTSA)</w:t>
      </w:r>
      <w:r w:rsidR="004A3FE7" w:rsidRPr="007B65C5">
        <w:rPr>
          <w:rFonts w:hint="cs"/>
          <w:spacing w:val="4"/>
          <w:rtl/>
        </w:rPr>
        <w:t xml:space="preserve"> التي تُعقد كل أربع سنوات.</w:t>
      </w:r>
    </w:p>
    <w:p w14:paraId="388EB949" w14:textId="23177D4B" w:rsidR="004A3FE7" w:rsidRDefault="009515E5" w:rsidP="004A3FE7">
      <w:pPr>
        <w:pStyle w:val="enumlev10"/>
      </w:pPr>
      <w:r>
        <w:rPr>
          <w:rFonts w:hint="cs"/>
        </w:rPr>
        <w:sym w:font="Wingdings" w:char="F0A7"/>
      </w:r>
      <w:r w:rsidR="004A3FE7">
        <w:rPr>
          <w:rtl/>
        </w:rPr>
        <w:tab/>
      </w:r>
      <w:r w:rsidR="004A3FE7">
        <w:rPr>
          <w:rFonts w:hint="cs"/>
          <w:rtl/>
        </w:rPr>
        <w:t xml:space="preserve">وأسهم المشاركون في الندوة العالمية للمعايير لعام </w:t>
      </w:r>
      <w:r w:rsidR="004A3FE7">
        <w:t>2020</w:t>
      </w:r>
      <w:r w:rsidR="004A3FE7">
        <w:rPr>
          <w:rFonts w:hint="cs"/>
          <w:rtl/>
          <w:lang w:bidi="ar-EG"/>
        </w:rPr>
        <w:t xml:space="preserve"> </w:t>
      </w:r>
      <w:r w:rsidR="004A3FE7">
        <w:rPr>
          <w:rFonts w:hint="cs"/>
          <w:rtl/>
        </w:rPr>
        <w:t>إسهاماً فعالاً في</w:t>
      </w:r>
      <w:r w:rsidR="004A3FE7">
        <w:rPr>
          <w:rFonts w:hint="cs"/>
          <w:rtl/>
          <w:lang w:bidi="ar-SA"/>
        </w:rPr>
        <w:t xml:space="preserve"> المناقشات</w:t>
      </w:r>
      <w:r w:rsidR="004A3FE7">
        <w:rPr>
          <w:rFonts w:hint="cs"/>
          <w:rtl/>
        </w:rPr>
        <w:t xml:space="preserve"> وتبادلوا الآراء بشأن العناصر الرئيسية التي يعتقدون أنه ينبغي لهذه الأطر أن تشملها، كما أَبرزوا من بينها العناصر التي ينبغي إيلاؤها أولوية في</w:t>
      </w:r>
      <w:r w:rsidR="00255DEA">
        <w:rPr>
          <w:rFonts w:hint="eastAsia"/>
          <w:rtl/>
        </w:rPr>
        <w:t> </w:t>
      </w:r>
      <w:r w:rsidR="004A3FE7">
        <w:rPr>
          <w:rFonts w:hint="cs"/>
          <w:rtl/>
        </w:rPr>
        <w:t xml:space="preserve">أعمال التقييس التي سيضطلع بها الاتحاد في فترة الدراسة التالية </w:t>
      </w:r>
      <w:r w:rsidR="004A3FE7">
        <w:t>(2024-2022)</w:t>
      </w:r>
      <w:r w:rsidR="004A3FE7">
        <w:rPr>
          <w:rFonts w:hint="cs"/>
          <w:rtl/>
          <w:lang w:bidi="ar-EG"/>
        </w:rPr>
        <w:t>.</w:t>
      </w:r>
      <w:r w:rsidR="004A3FE7">
        <w:rPr>
          <w:rFonts w:hint="cs"/>
          <w:rtl/>
        </w:rPr>
        <w:t xml:space="preserve"> وقد شملت المناقشات الرئيسية التي جرت أثناء هذا الحدث البارز طائفة متنوعة من المواضيع في سياق التقييس</w:t>
      </w:r>
      <w:r w:rsidR="004A3FE7">
        <w:rPr>
          <w:rFonts w:hint="cs"/>
          <w:rtl/>
          <w:lang w:bidi="ar-EG"/>
        </w:rPr>
        <w:t xml:space="preserve"> المتمركز حول التكنولوجيا</w:t>
      </w:r>
      <w:r w:rsidR="004A3FE7">
        <w:rPr>
          <w:rFonts w:hint="cs"/>
          <w:rtl/>
        </w:rPr>
        <w:t xml:space="preserve">، منها المدن والمجتمعات الذكية، والزراعة </w:t>
      </w:r>
      <w:r w:rsidR="008C0EF4">
        <w:rPr>
          <w:rFonts w:hint="cs"/>
          <w:rtl/>
        </w:rPr>
        <w:t>الرقمية</w:t>
      </w:r>
      <w:r w:rsidR="004A3FE7">
        <w:rPr>
          <w:rFonts w:hint="cs"/>
          <w:rtl/>
        </w:rPr>
        <w:t>، والشمول الرقمي، والذكاء الاصطناعي للسلامة على الطرق، والقيادة الذاتية، والشمول المالي، والاستدامة، وسهولة النفاذ، والرعاية الصحية.</w:t>
      </w:r>
    </w:p>
    <w:p w14:paraId="566708B9" w14:textId="61A0DC11" w:rsidR="004A3FE7" w:rsidRPr="004C3050" w:rsidRDefault="009515E5" w:rsidP="00F13487">
      <w:pPr>
        <w:pStyle w:val="enumlev10"/>
        <w:rPr>
          <w:rtl/>
          <w:lang w:val="en-GB" w:bidi="ar-SA"/>
        </w:rPr>
      </w:pPr>
      <w:r>
        <w:rPr>
          <w:rFonts w:hint="cs"/>
        </w:rPr>
        <w:sym w:font="Wingdings" w:char="F0A7"/>
      </w:r>
      <w:r w:rsidR="004A3FE7">
        <w:rPr>
          <w:rtl/>
        </w:rPr>
        <w:tab/>
      </w:r>
      <w:r w:rsidR="004A3FE7">
        <w:rPr>
          <w:rFonts w:hint="cs"/>
          <w:rtl/>
          <w:lang w:bidi="ar-EG"/>
        </w:rPr>
        <w:t xml:space="preserve">وأدلى بملاحظات ترحيبية كل من سعادة السفيرة </w:t>
      </w:r>
      <w:r w:rsidR="004A3FE7" w:rsidRPr="007B65C5">
        <w:rPr>
          <w:rFonts w:hint="cs"/>
          <w:rtl/>
          <w:lang w:bidi="ar-EG"/>
        </w:rPr>
        <w:t>فوق العادة</w:t>
      </w:r>
      <w:r w:rsidR="004A3FE7">
        <w:rPr>
          <w:rFonts w:hint="cs"/>
          <w:rtl/>
          <w:lang w:bidi="ar-EG"/>
        </w:rPr>
        <w:t xml:space="preserve"> للشؤون الرقمية بوزارة الشؤون الخارجية بإستونيا، السيدة نيل </w:t>
      </w:r>
      <w:proofErr w:type="spellStart"/>
      <w:r w:rsidR="004A3FE7">
        <w:rPr>
          <w:rFonts w:hint="cs"/>
          <w:rtl/>
          <w:lang w:bidi="ar-EG"/>
        </w:rPr>
        <w:t>ليوسك</w:t>
      </w:r>
      <w:proofErr w:type="spellEnd"/>
      <w:r w:rsidR="004A3FE7">
        <w:rPr>
          <w:rFonts w:hint="cs"/>
          <w:rtl/>
          <w:lang w:bidi="ar-EG"/>
        </w:rPr>
        <w:t xml:space="preserve">، والأمين العام للاتحاد، السيد هولين جاو. وأدلى بسلسلة من الكلمات الرئيسية أثناء الندوة كل من: معالي وزير تكنولوجيات الاتصال بتونس، السيد نزار بن ناجي؛ ومعالي وزيرة الاتصالات والرقمنة بغانا، السيدة </w:t>
      </w:r>
      <w:proofErr w:type="spellStart"/>
      <w:r w:rsidR="004A3FE7">
        <w:rPr>
          <w:rFonts w:hint="cs"/>
          <w:rtl/>
          <w:lang w:bidi="ar-EG"/>
        </w:rPr>
        <w:t>أورسولا</w:t>
      </w:r>
      <w:proofErr w:type="spellEnd"/>
      <w:r w:rsidR="004A3FE7">
        <w:rPr>
          <w:rFonts w:hint="cs"/>
          <w:rtl/>
          <w:lang w:bidi="ar-EG"/>
        </w:rPr>
        <w:t xml:space="preserve"> </w:t>
      </w:r>
      <w:proofErr w:type="spellStart"/>
      <w:r w:rsidR="004A3FE7">
        <w:rPr>
          <w:rFonts w:hint="cs"/>
          <w:rtl/>
          <w:lang w:bidi="ar-EG"/>
        </w:rPr>
        <w:t>أووسو</w:t>
      </w:r>
      <w:proofErr w:type="spellEnd"/>
      <w:r w:rsidR="004A3FE7">
        <w:rPr>
          <w:rFonts w:hint="cs"/>
          <w:rtl/>
          <w:lang w:bidi="ar-EG"/>
        </w:rPr>
        <w:t xml:space="preserve"> </w:t>
      </w:r>
      <w:proofErr w:type="spellStart"/>
      <w:r w:rsidR="004A3FE7">
        <w:rPr>
          <w:rFonts w:hint="cs"/>
          <w:rtl/>
          <w:lang w:bidi="ar-EG"/>
        </w:rPr>
        <w:t>أيكوفول</w:t>
      </w:r>
      <w:proofErr w:type="spellEnd"/>
      <w:r w:rsidR="004A3FE7">
        <w:rPr>
          <w:rFonts w:hint="cs"/>
          <w:rtl/>
          <w:lang w:bidi="ar-EG"/>
        </w:rPr>
        <w:t xml:space="preserve">؛ </w:t>
      </w:r>
      <w:r w:rsidR="00F13487">
        <w:rPr>
          <w:rFonts w:hint="cs"/>
          <w:color w:val="000000"/>
          <w:rtl/>
        </w:rPr>
        <w:t>ومعالي</w:t>
      </w:r>
      <w:r w:rsidR="00F13487">
        <w:rPr>
          <w:color w:val="000000"/>
          <w:rtl/>
        </w:rPr>
        <w:t xml:space="preserve"> السيدة </w:t>
      </w:r>
      <w:proofErr w:type="spellStart"/>
      <w:r w:rsidR="00F13487">
        <w:rPr>
          <w:color w:val="000000"/>
          <w:rtl/>
        </w:rPr>
        <w:t>كومبودزو</w:t>
      </w:r>
      <w:proofErr w:type="spellEnd"/>
      <w:r w:rsidR="00F13487">
        <w:rPr>
          <w:color w:val="000000"/>
          <w:rtl/>
        </w:rPr>
        <w:t xml:space="preserve"> فوفي </w:t>
      </w:r>
      <w:proofErr w:type="spellStart"/>
      <w:r w:rsidR="00F13487">
        <w:rPr>
          <w:color w:val="000000"/>
          <w:rtl/>
        </w:rPr>
        <w:t>سايلنس</w:t>
      </w:r>
      <w:proofErr w:type="spellEnd"/>
      <w:r w:rsidR="00F13487">
        <w:rPr>
          <w:color w:val="000000"/>
          <w:rtl/>
        </w:rPr>
        <w:t xml:space="preserve"> </w:t>
      </w:r>
      <w:proofErr w:type="spellStart"/>
      <w:r w:rsidR="00F13487">
        <w:rPr>
          <w:color w:val="000000"/>
          <w:rtl/>
        </w:rPr>
        <w:t>إنتشافيني</w:t>
      </w:r>
      <w:proofErr w:type="spellEnd"/>
      <w:r w:rsidR="00F13487">
        <w:rPr>
          <w:rFonts w:hint="cs"/>
          <w:color w:val="000000"/>
          <w:rtl/>
        </w:rPr>
        <w:t xml:space="preserve">، </w:t>
      </w:r>
      <w:r w:rsidR="00F13487">
        <w:rPr>
          <w:color w:val="000000"/>
          <w:rtl/>
        </w:rPr>
        <w:t>وزيرة الاتصالات والتكنولوجيا الرقمية بجمهورية جنوب إفريقيا</w:t>
      </w:r>
      <w:r w:rsidR="00F13487">
        <w:rPr>
          <w:rFonts w:hint="cs"/>
          <w:rtl/>
          <w:lang w:bidi="ar-SA"/>
        </w:rPr>
        <w:t xml:space="preserve">؛ ومعالي السيدة كارولين </w:t>
      </w:r>
      <w:proofErr w:type="spellStart"/>
      <w:r w:rsidR="00F13487">
        <w:rPr>
          <w:rFonts w:hint="cs"/>
          <w:rtl/>
          <w:lang w:bidi="ar-SA"/>
        </w:rPr>
        <w:t>إدستادلر</w:t>
      </w:r>
      <w:proofErr w:type="spellEnd"/>
      <w:r w:rsidR="00F13487">
        <w:rPr>
          <w:rFonts w:hint="cs"/>
          <w:rtl/>
          <w:lang w:bidi="ar-SA"/>
        </w:rPr>
        <w:t xml:space="preserve">، </w:t>
      </w:r>
      <w:r w:rsidR="00F13487" w:rsidRPr="004C3050">
        <w:rPr>
          <w:rFonts w:hint="cs"/>
          <w:rtl/>
          <w:lang w:bidi="ar-SA"/>
        </w:rPr>
        <w:t xml:space="preserve">الوزيرة </w:t>
      </w:r>
      <w:r w:rsidR="004C3050" w:rsidRPr="004C3050">
        <w:rPr>
          <w:rFonts w:hint="cs"/>
          <w:rtl/>
          <w:lang w:bidi="ar-SA"/>
        </w:rPr>
        <w:t>الاتحادية</w:t>
      </w:r>
      <w:r w:rsidR="00F13487" w:rsidRPr="004C3050">
        <w:rPr>
          <w:rFonts w:hint="cs"/>
          <w:rtl/>
          <w:lang w:bidi="ar-SA"/>
        </w:rPr>
        <w:t xml:space="preserve"> </w:t>
      </w:r>
      <w:r w:rsidR="004C3050">
        <w:rPr>
          <w:rFonts w:hint="cs"/>
          <w:rtl/>
          <w:lang w:bidi="ar-SA"/>
        </w:rPr>
        <w:t>لشؤون الاتحاد الأوروبي</w:t>
      </w:r>
      <w:r w:rsidR="00F13487">
        <w:rPr>
          <w:rFonts w:hint="cs"/>
          <w:rtl/>
          <w:lang w:bidi="ar-SA"/>
        </w:rPr>
        <w:t xml:space="preserve"> والدستور، النمسا؛ </w:t>
      </w:r>
      <w:r w:rsidR="00F13487">
        <w:rPr>
          <w:rFonts w:hint="cs"/>
          <w:rtl/>
          <w:lang w:bidi="ar-EG"/>
        </w:rPr>
        <w:t xml:space="preserve">ومعالي السيد </w:t>
      </w:r>
      <w:proofErr w:type="spellStart"/>
      <w:r w:rsidR="00F13487">
        <w:rPr>
          <w:color w:val="000000"/>
          <w:rtl/>
        </w:rPr>
        <w:t>تيودورو</w:t>
      </w:r>
      <w:proofErr w:type="spellEnd"/>
      <w:r w:rsidR="00F13487">
        <w:rPr>
          <w:color w:val="000000"/>
          <w:rtl/>
        </w:rPr>
        <w:t xml:space="preserve"> ويلينك،</w:t>
      </w:r>
      <w:r w:rsidR="00F13487">
        <w:rPr>
          <w:rFonts w:hint="cs"/>
          <w:rtl/>
          <w:lang w:bidi="ar-EG"/>
        </w:rPr>
        <w:t xml:space="preserve"> نائب وزير العلوم والتكنولوجيا والاتصالات </w:t>
      </w:r>
      <w:r w:rsidR="00F13487">
        <w:rPr>
          <w:lang w:bidi="ar-EG"/>
        </w:rPr>
        <w:t>(MICITT)</w:t>
      </w:r>
      <w:r w:rsidR="00F13487">
        <w:rPr>
          <w:rFonts w:hint="cs"/>
          <w:rtl/>
          <w:lang w:bidi="ar-EG"/>
        </w:rPr>
        <w:t xml:space="preserve"> بكوستاريكا؛ و</w:t>
      </w:r>
      <w:r w:rsidR="004A3FE7">
        <w:rPr>
          <w:rFonts w:hint="cs"/>
          <w:rtl/>
          <w:lang w:bidi="ar-EG"/>
        </w:rPr>
        <w:t xml:space="preserve">السيد </w:t>
      </w:r>
      <w:r w:rsidR="00672277">
        <w:rPr>
          <w:rFonts w:hint="cs"/>
          <w:rtl/>
          <w:lang w:bidi="ar-EG"/>
        </w:rPr>
        <w:t>جان تود</w:t>
      </w:r>
      <w:r w:rsidR="00F13487">
        <w:rPr>
          <w:rFonts w:hint="cs"/>
          <w:rtl/>
          <w:lang w:bidi="ar-EG"/>
        </w:rPr>
        <w:t>، مبعوث الأمم المتحدة الخاص المعني بالسلامة على الطرق</w:t>
      </w:r>
      <w:r w:rsidR="004A3FE7">
        <w:rPr>
          <w:rFonts w:hint="cs"/>
          <w:rtl/>
          <w:lang w:bidi="ar-EG"/>
        </w:rPr>
        <w:t xml:space="preserve">؛ </w:t>
      </w:r>
      <w:r w:rsidR="00F13487">
        <w:rPr>
          <w:rFonts w:hint="cs"/>
          <w:color w:val="000000"/>
          <w:rtl/>
        </w:rPr>
        <w:t>و</w:t>
      </w:r>
      <w:r w:rsidR="00F13487">
        <w:rPr>
          <w:color w:val="000000"/>
          <w:rtl/>
        </w:rPr>
        <w:t xml:space="preserve">السيد ماركوس </w:t>
      </w:r>
      <w:proofErr w:type="spellStart"/>
      <w:r w:rsidR="00F13487">
        <w:rPr>
          <w:color w:val="000000"/>
          <w:rtl/>
        </w:rPr>
        <w:t>شينغل</w:t>
      </w:r>
      <w:proofErr w:type="spellEnd"/>
      <w:r w:rsidR="00F13487">
        <w:rPr>
          <w:rFonts w:hint="cs"/>
          <w:color w:val="000000"/>
          <w:rtl/>
        </w:rPr>
        <w:t xml:space="preserve">، </w:t>
      </w:r>
      <w:r w:rsidR="00F13487">
        <w:rPr>
          <w:color w:val="000000"/>
          <w:rtl/>
        </w:rPr>
        <w:t xml:space="preserve">كبير المديرين التنفيذيين </w:t>
      </w:r>
      <w:r w:rsidR="004C3050">
        <w:rPr>
          <w:rFonts w:hint="cs"/>
          <w:color w:val="000000"/>
          <w:rtl/>
        </w:rPr>
        <w:t xml:space="preserve">لبرنامج </w:t>
      </w:r>
      <w:r w:rsidR="00F13487">
        <w:rPr>
          <w:color w:val="000000"/>
        </w:rPr>
        <w:t>Exponential Destiny</w:t>
      </w:r>
      <w:r w:rsidR="00F55AC1">
        <w:rPr>
          <w:rFonts w:hint="cs"/>
          <w:color w:val="000000"/>
          <w:rtl/>
          <w:lang w:bidi="ar-SA"/>
        </w:rPr>
        <w:t>؛ و</w:t>
      </w:r>
      <w:r w:rsidR="00F55AC1">
        <w:rPr>
          <w:color w:val="000000"/>
          <w:rtl/>
        </w:rPr>
        <w:t xml:space="preserve">السيد </w:t>
      </w:r>
      <w:proofErr w:type="spellStart"/>
      <w:r w:rsidR="00F55AC1">
        <w:rPr>
          <w:color w:val="000000"/>
          <w:rtl/>
        </w:rPr>
        <w:t>أوكان</w:t>
      </w:r>
      <w:proofErr w:type="spellEnd"/>
      <w:r w:rsidR="00F55AC1">
        <w:rPr>
          <w:color w:val="000000"/>
          <w:rtl/>
        </w:rPr>
        <w:t xml:space="preserve"> غيراي</w:t>
      </w:r>
      <w:r w:rsidR="00F55AC1">
        <w:rPr>
          <w:rFonts w:hint="cs"/>
          <w:color w:val="000000"/>
          <w:rtl/>
        </w:rPr>
        <w:t xml:space="preserve">، </w:t>
      </w:r>
      <w:r w:rsidR="00F55AC1">
        <w:rPr>
          <w:color w:val="000000"/>
          <w:rtl/>
        </w:rPr>
        <w:t>مستشار التخطيط الاستراتيجي بهيئة دبي الرقمية</w:t>
      </w:r>
      <w:r w:rsidR="00F55AC1">
        <w:rPr>
          <w:rFonts w:hint="cs"/>
          <w:rtl/>
        </w:rPr>
        <w:t>.</w:t>
      </w:r>
    </w:p>
    <w:p w14:paraId="49C68DED" w14:textId="7E307644" w:rsidR="004A3FE7" w:rsidRDefault="009515E5" w:rsidP="004A3FE7">
      <w:pPr>
        <w:pStyle w:val="enumlev10"/>
        <w:rPr>
          <w:rtl/>
        </w:rPr>
      </w:pPr>
      <w:r>
        <w:rPr>
          <w:rFonts w:hint="cs"/>
        </w:rPr>
        <w:sym w:font="Wingdings" w:char="F0A7"/>
      </w:r>
      <w:r w:rsidR="004A3FE7">
        <w:rPr>
          <w:rtl/>
        </w:rPr>
        <w:tab/>
      </w:r>
      <w:r w:rsidR="004A3FE7">
        <w:rPr>
          <w:rFonts w:hint="cs"/>
          <w:rtl/>
        </w:rPr>
        <w:t>وتألفت الندوة من سبع جلسات خُصِّصت لموضوع "المعايير الدولية لتيسير التحول الرقمي وتحقيق أهداف التنمية المستدامة" وحفل أقامته مبادرة "</w:t>
      </w:r>
      <w:r w:rsidR="004A3FE7">
        <w:rPr>
          <w:rFonts w:hint="cs"/>
          <w:rtl/>
          <w:lang w:bidi="ar-EG"/>
        </w:rPr>
        <w:t xml:space="preserve">متحدون من أجل مدن ذكية مستدامة" </w:t>
      </w:r>
      <w:r w:rsidR="004A3FE7">
        <w:rPr>
          <w:lang w:bidi="ar-EG"/>
        </w:rPr>
        <w:t>(U4SSC)</w:t>
      </w:r>
      <w:r w:rsidR="004A3FE7">
        <w:rPr>
          <w:rFonts w:hint="cs"/>
          <w:rtl/>
          <w:lang w:bidi="ar-EG"/>
        </w:rPr>
        <w:t xml:space="preserve"> مع المدن المشاركة في المبادرة.</w:t>
      </w:r>
    </w:p>
    <w:p w14:paraId="7E1AEF0A" w14:textId="09D6F6D7" w:rsidR="00AA6EF1" w:rsidRDefault="007D7755" w:rsidP="004C3050">
      <w:pPr>
        <w:spacing w:before="600"/>
        <w:jc w:val="center"/>
      </w:pPr>
      <w:r>
        <w:rPr>
          <w:rFonts w:hint="cs"/>
          <w:rtl/>
          <w:lang w:bidi="ar-SY"/>
        </w:rPr>
        <w:t>ــــــــــــــــــــــــــــــــــــــــــــــــــــــــــــــــــــــــــــــــــــــــ</w:t>
      </w:r>
    </w:p>
    <w:sectPr w:rsidR="00AA6EF1" w:rsidSect="004D4AE6">
      <w:headerReference w:type="even" r:id="rId35"/>
      <w:headerReference w:type="default" r:id="rId36"/>
      <w:footerReference w:type="default" r:id="rId37"/>
      <w:footerReference w:type="first" r:id="rId3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67A45" w14:textId="77777777" w:rsidR="00057C3C" w:rsidRDefault="00057C3C" w:rsidP="002919E1">
      <w:r>
        <w:separator/>
      </w:r>
    </w:p>
    <w:p w14:paraId="302D6276" w14:textId="77777777" w:rsidR="00057C3C" w:rsidRDefault="00057C3C" w:rsidP="002919E1"/>
    <w:p w14:paraId="582727F3" w14:textId="77777777" w:rsidR="00057C3C" w:rsidRDefault="00057C3C" w:rsidP="002919E1"/>
    <w:p w14:paraId="7134825F" w14:textId="77777777" w:rsidR="00057C3C" w:rsidRDefault="00057C3C"/>
  </w:endnote>
  <w:endnote w:type="continuationSeparator" w:id="0">
    <w:p w14:paraId="201B3F68" w14:textId="77777777" w:rsidR="00057C3C" w:rsidRDefault="00057C3C" w:rsidP="002919E1">
      <w:r>
        <w:continuationSeparator/>
      </w:r>
    </w:p>
    <w:p w14:paraId="505C3B2B" w14:textId="77777777" w:rsidR="00057C3C" w:rsidRDefault="00057C3C" w:rsidP="002919E1"/>
    <w:p w14:paraId="7D56B7E9" w14:textId="77777777" w:rsidR="00057C3C" w:rsidRDefault="00057C3C" w:rsidP="002919E1"/>
    <w:p w14:paraId="02DA56F1" w14:textId="77777777" w:rsidR="00057C3C" w:rsidRDefault="00057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76B48" w14:textId="29333730" w:rsidR="00FC7FD8" w:rsidRPr="00FC7FD8" w:rsidRDefault="00FC7FD8" w:rsidP="00FC7FD8">
    <w:pPr>
      <w:tabs>
        <w:tab w:val="center" w:pos="5103"/>
        <w:tab w:val="right" w:pos="9639"/>
      </w:tabs>
      <w:bidi w:val="0"/>
      <w:spacing w:line="240" w:lineRule="auto"/>
      <w:jc w:val="left"/>
      <w:rPr>
        <w:sz w:val="16"/>
        <w:szCs w:val="16"/>
        <w:lang w:val="fr-FR"/>
      </w:rPr>
    </w:pPr>
    <w:r w:rsidRPr="00FC7FD8">
      <w:rPr>
        <w:sz w:val="16"/>
        <w:szCs w:val="16"/>
        <w:lang w:val="fr-FR"/>
      </w:rPr>
      <w:fldChar w:fldCharType="begin"/>
    </w:r>
    <w:r w:rsidRPr="00FC7FD8">
      <w:rPr>
        <w:sz w:val="16"/>
        <w:szCs w:val="16"/>
        <w:lang w:val="fr-FR"/>
      </w:rPr>
      <w:instrText xml:space="preserve"> FILENAME \p \* MERGEFORMAT </w:instrText>
    </w:r>
    <w:r w:rsidRPr="00FC7FD8">
      <w:rPr>
        <w:sz w:val="16"/>
        <w:szCs w:val="16"/>
        <w:lang w:val="fr-FR"/>
      </w:rPr>
      <w:fldChar w:fldCharType="separate"/>
    </w:r>
    <w:r w:rsidR="003C2B09">
      <w:rPr>
        <w:noProof/>
        <w:sz w:val="16"/>
        <w:szCs w:val="16"/>
        <w:lang w:val="fr-FR"/>
      </w:rPr>
      <w:t>P:\TRAD\A\ITU-T\CONF-T\WTSA20\000\043A.docx</w:t>
    </w:r>
    <w:r w:rsidRPr="00FC7FD8">
      <w:rPr>
        <w:sz w:val="16"/>
        <w:szCs w:val="16"/>
      </w:rPr>
      <w:fldChar w:fldCharType="end"/>
    </w:r>
    <w:proofErr w:type="gramStart"/>
    <w:r w:rsidRPr="003C2B09">
      <w:rPr>
        <w:sz w:val="16"/>
        <w:szCs w:val="16"/>
        <w:lang w:val="fr-CH"/>
      </w:rPr>
      <w:t xml:space="preserve">  </w:t>
    </w:r>
    <w:r w:rsidRPr="00FC7FD8">
      <w:rPr>
        <w:sz w:val="16"/>
        <w:szCs w:val="16"/>
        <w:lang w:val="fr-FR"/>
      </w:rPr>
      <w:t xml:space="preserve"> (</w:t>
    </w:r>
    <w:proofErr w:type="gramEnd"/>
    <w:r w:rsidR="003C2B09">
      <w:rPr>
        <w:sz w:val="16"/>
        <w:szCs w:val="16"/>
        <w:lang w:val="fr-FR"/>
      </w:rPr>
      <w:t>501068</w:t>
    </w:r>
    <w:r w:rsidRPr="00FC7FD8">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5D36" w14:textId="52CCF206" w:rsidR="00AD538E" w:rsidRPr="00EA7D73" w:rsidRDefault="00AD538E" w:rsidP="00AD538E">
    <w:pPr>
      <w:pStyle w:val="Footer"/>
      <w:rPr>
        <w:lang w:val="fr-FR"/>
      </w:rPr>
    </w:pPr>
    <w:r w:rsidRPr="00EA7D73">
      <w:rPr>
        <w:lang w:val="fr-FR"/>
      </w:rPr>
      <w:fldChar w:fldCharType="begin"/>
    </w:r>
    <w:r w:rsidRPr="00EA7D73">
      <w:rPr>
        <w:lang w:val="fr-FR"/>
      </w:rPr>
      <w:instrText xml:space="preserve"> FILENAME \p \* MERGEFORMAT </w:instrText>
    </w:r>
    <w:r w:rsidRPr="00EA7D73">
      <w:rPr>
        <w:lang w:val="fr-FR"/>
      </w:rPr>
      <w:fldChar w:fldCharType="separate"/>
    </w:r>
    <w:r w:rsidR="00E56357">
      <w:rPr>
        <w:noProof/>
        <w:lang w:val="fr-FR"/>
      </w:rPr>
      <w:t>P:\ARA\ITU-T\CONF-T\WTSA20\000\043A.docx</w:t>
    </w:r>
    <w:r w:rsidRPr="00EA7D73">
      <w:rPr>
        <w:lang w:val="en-GB"/>
      </w:rPr>
      <w:fldChar w:fldCharType="end"/>
    </w:r>
    <w:proofErr w:type="gramStart"/>
    <w:r w:rsidRPr="00F12CBD">
      <w:rPr>
        <w:lang w:val="fr-CH"/>
      </w:rPr>
      <w:t xml:space="preserve">  </w:t>
    </w:r>
    <w:r w:rsidRPr="00EA7D73">
      <w:rPr>
        <w:lang w:val="fr-FR"/>
      </w:rPr>
      <w:t xml:space="preserve"> (</w:t>
    </w:r>
    <w:proofErr w:type="gramEnd"/>
    <w:r w:rsidR="000D0AD7">
      <w:rPr>
        <w:rFonts w:hint="cs"/>
        <w:rtl/>
        <w:lang w:val="fr-FR"/>
      </w:rPr>
      <w:t>497</w:t>
    </w:r>
    <w:r w:rsidR="006627C3">
      <w:rPr>
        <w:rFonts w:hint="cs"/>
        <w:rtl/>
        <w:lang w:val="fr-FR"/>
      </w:rPr>
      <w:t>952</w:t>
    </w:r>
    <w:r w:rsidRPr="00EA7D73">
      <w:rP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3B58" w14:textId="36955BA6" w:rsidR="00057C3C" w:rsidRDefault="007D7755" w:rsidP="002919E1">
      <w:pPr>
        <w:rPr>
          <w:rFonts w:hint="cs"/>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ـــــــــــــــــــــــــــــــــــــــــــــــــــــــــــــــــــــــــــــــــــــــــــــــــــــــــــــــــــــــ</w:t>
      </w:r>
    </w:p>
  </w:footnote>
  <w:footnote w:type="continuationSeparator" w:id="0">
    <w:p w14:paraId="234FB769" w14:textId="77777777" w:rsidR="00057C3C" w:rsidRDefault="00057C3C" w:rsidP="002919E1">
      <w:r>
        <w:continuationSeparator/>
      </w:r>
    </w:p>
    <w:p w14:paraId="443BED9E" w14:textId="77777777" w:rsidR="00057C3C" w:rsidRDefault="00057C3C" w:rsidP="002919E1"/>
    <w:p w14:paraId="4A17A243" w14:textId="77777777" w:rsidR="00057C3C" w:rsidRDefault="00057C3C" w:rsidP="002919E1"/>
    <w:p w14:paraId="07B8B258" w14:textId="77777777" w:rsidR="00057C3C" w:rsidRDefault="00057C3C"/>
  </w:footnote>
  <w:footnote w:id="1">
    <w:p w14:paraId="62C741BE" w14:textId="0540C7A8" w:rsidR="004A3FE7" w:rsidRPr="002B7C3B" w:rsidRDefault="004A3FE7" w:rsidP="004A3FE7">
      <w:pPr>
        <w:pStyle w:val="FootnoteText"/>
        <w:rPr>
          <w:sz w:val="18"/>
          <w:szCs w:val="18"/>
          <w:rtl/>
          <w:lang w:bidi="ar-SA"/>
        </w:rPr>
      </w:pPr>
      <w:r w:rsidRPr="002B7C3B">
        <w:rPr>
          <w:rStyle w:val="FootnoteReference"/>
        </w:rPr>
        <w:footnoteRef/>
      </w:r>
      <w:r w:rsidRPr="002B7C3B">
        <w:rPr>
          <w:sz w:val="18"/>
          <w:szCs w:val="18"/>
          <w:rtl/>
        </w:rPr>
        <w:t xml:space="preserve"> </w:t>
      </w:r>
      <w:r w:rsidRPr="002B7C3B">
        <w:rPr>
          <w:sz w:val="18"/>
          <w:szCs w:val="18"/>
          <w:rtl/>
        </w:rPr>
        <w:tab/>
      </w:r>
      <w:r w:rsidRPr="002B7C3B">
        <w:rPr>
          <w:rFonts w:hint="cs"/>
          <w:sz w:val="18"/>
          <w:szCs w:val="18"/>
          <w:rtl/>
        </w:rPr>
        <w:t xml:space="preserve">يُنفَّذ هذا المعيار حالياً فيما يربو على </w:t>
      </w:r>
      <w:r w:rsidRPr="002B7C3B">
        <w:rPr>
          <w:sz w:val="18"/>
          <w:szCs w:val="18"/>
        </w:rPr>
        <w:t>150</w:t>
      </w:r>
      <w:r w:rsidRPr="002B7C3B">
        <w:rPr>
          <w:rFonts w:hint="cs"/>
          <w:sz w:val="18"/>
          <w:szCs w:val="18"/>
          <w:rtl/>
        </w:rPr>
        <w:t xml:space="preserve"> مدينة حول العالم، من بينها </w:t>
      </w:r>
      <w:proofErr w:type="spellStart"/>
      <w:r w:rsidRPr="002B7C3B">
        <w:rPr>
          <w:rFonts w:hint="cs"/>
          <w:sz w:val="18"/>
          <w:szCs w:val="18"/>
          <w:rtl/>
        </w:rPr>
        <w:t>تيغو</w:t>
      </w:r>
      <w:proofErr w:type="spellEnd"/>
      <w:r w:rsidRPr="002B7C3B">
        <w:rPr>
          <w:rFonts w:hint="cs"/>
          <w:sz w:val="18"/>
          <w:szCs w:val="18"/>
          <w:rtl/>
        </w:rPr>
        <w:t xml:space="preserve"> ومشهد وبِنزَرْت </w:t>
      </w:r>
      <w:proofErr w:type="gramStart"/>
      <w:r w:rsidRPr="002B7C3B">
        <w:rPr>
          <w:rFonts w:hint="cs"/>
          <w:sz w:val="18"/>
          <w:szCs w:val="18"/>
          <w:rtl/>
        </w:rPr>
        <w:t>ودبي</w:t>
      </w:r>
      <w:proofErr w:type="gramEnd"/>
      <w:r w:rsidRPr="002B7C3B">
        <w:rPr>
          <w:rFonts w:hint="cs"/>
          <w:sz w:val="18"/>
          <w:szCs w:val="18"/>
          <w:rtl/>
        </w:rPr>
        <w:t xml:space="preserve"> وسنغافورة والرياض </w:t>
      </w:r>
      <w:r w:rsidR="003C2B09">
        <w:rPr>
          <w:rFonts w:hint="cs"/>
          <w:sz w:val="18"/>
          <w:szCs w:val="18"/>
          <w:rtl/>
        </w:rPr>
        <w:t>وفالينسيا</w:t>
      </w:r>
      <w:r w:rsidRPr="002B7C3B">
        <w:rPr>
          <w:rFonts w:hint="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6903" w14:textId="77777777" w:rsidR="00281F5F" w:rsidRDefault="00281F5F" w:rsidP="002919E1"/>
  <w:p w14:paraId="118B7F7C" w14:textId="77777777" w:rsidR="00281F5F" w:rsidRDefault="00281F5F" w:rsidP="002919E1"/>
  <w:p w14:paraId="2FA675B7"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2838" w14:textId="4B272380" w:rsidR="00281F5F" w:rsidRPr="00AD538E" w:rsidRDefault="00281F5F" w:rsidP="001B073C">
    <w:pPr>
      <w:pStyle w:val="Header"/>
      <w:rPr>
        <w:rStyle w:val="PageNumber"/>
        <w:lang w:bidi="ar-EG"/>
      </w:rPr>
    </w:pPr>
    <w:r w:rsidRPr="00AD538E">
      <w:rPr>
        <w:rStyle w:val="PageNumber"/>
      </w:rPr>
      <w:fldChar w:fldCharType="begin"/>
    </w:r>
    <w:r w:rsidRPr="00AD538E">
      <w:rPr>
        <w:rStyle w:val="PageNumber"/>
      </w:rPr>
      <w:instrText xml:space="preserve"> PAGE </w:instrText>
    </w:r>
    <w:r w:rsidRPr="00AD538E">
      <w:rPr>
        <w:rStyle w:val="PageNumber"/>
      </w:rPr>
      <w:fldChar w:fldCharType="separate"/>
    </w:r>
    <w:r w:rsidR="002B12C5" w:rsidRPr="00AD538E">
      <w:rPr>
        <w:rStyle w:val="PageNumber"/>
      </w:rPr>
      <w:t>2</w:t>
    </w:r>
    <w:r w:rsidRPr="00AD538E">
      <w:rPr>
        <w:rStyle w:val="PageNumber"/>
      </w:rPr>
      <w:fldChar w:fldCharType="end"/>
    </w:r>
    <w:r w:rsidRPr="00AD538E">
      <w:rPr>
        <w:rStyle w:val="PageNumber"/>
        <w:rtl/>
      </w:rPr>
      <w:br/>
    </w:r>
    <w:r w:rsidR="001B073C">
      <w:rPr>
        <w:rStyle w:val="PageNumber"/>
        <w:rFonts w:hint="cs"/>
        <w:rtl/>
        <w:lang w:bidi="ar-EG"/>
      </w:rPr>
      <w:t xml:space="preserve">الوثيقة </w:t>
    </w:r>
    <w:r w:rsidR="001B073C">
      <w:rPr>
        <w:rStyle w:val="PageNumber"/>
      </w:rPr>
      <w:t>43-A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D81D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924EE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428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C81B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C492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3C"/>
    <w:rsid w:val="00011021"/>
    <w:rsid w:val="000114EC"/>
    <w:rsid w:val="00011F8C"/>
    <w:rsid w:val="00022B74"/>
    <w:rsid w:val="0002327C"/>
    <w:rsid w:val="00034B65"/>
    <w:rsid w:val="00040C94"/>
    <w:rsid w:val="000425FC"/>
    <w:rsid w:val="00044D43"/>
    <w:rsid w:val="00051907"/>
    <w:rsid w:val="00057C3C"/>
    <w:rsid w:val="00064B26"/>
    <w:rsid w:val="000714DB"/>
    <w:rsid w:val="00075A3F"/>
    <w:rsid w:val="00080B19"/>
    <w:rsid w:val="000A1B16"/>
    <w:rsid w:val="000B3249"/>
    <w:rsid w:val="000B3896"/>
    <w:rsid w:val="000B5404"/>
    <w:rsid w:val="000D0AD7"/>
    <w:rsid w:val="000D1708"/>
    <w:rsid w:val="000E1BF1"/>
    <w:rsid w:val="000E2AFC"/>
    <w:rsid w:val="000E6D30"/>
    <w:rsid w:val="000F05F5"/>
    <w:rsid w:val="000F518F"/>
    <w:rsid w:val="0010081C"/>
    <w:rsid w:val="001013E3"/>
    <w:rsid w:val="0010363F"/>
    <w:rsid w:val="00123AA6"/>
    <w:rsid w:val="0012545F"/>
    <w:rsid w:val="00136B82"/>
    <w:rsid w:val="001464F2"/>
    <w:rsid w:val="00162143"/>
    <w:rsid w:val="00167364"/>
    <w:rsid w:val="00174F2F"/>
    <w:rsid w:val="001868D5"/>
    <w:rsid w:val="001903B2"/>
    <w:rsid w:val="001B073C"/>
    <w:rsid w:val="001B5953"/>
    <w:rsid w:val="001D746E"/>
    <w:rsid w:val="001E190C"/>
    <w:rsid w:val="001E51EE"/>
    <w:rsid w:val="001E54F6"/>
    <w:rsid w:val="001E5A8C"/>
    <w:rsid w:val="00201A0A"/>
    <w:rsid w:val="002075D4"/>
    <w:rsid w:val="00211B2A"/>
    <w:rsid w:val="00223C6C"/>
    <w:rsid w:val="0023289F"/>
    <w:rsid w:val="002333A0"/>
    <w:rsid w:val="00242FC4"/>
    <w:rsid w:val="00243625"/>
    <w:rsid w:val="00246ADD"/>
    <w:rsid w:val="002543CF"/>
    <w:rsid w:val="00255DEA"/>
    <w:rsid w:val="0026062E"/>
    <w:rsid w:val="00260F50"/>
    <w:rsid w:val="00261EF7"/>
    <w:rsid w:val="00266EA9"/>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E46"/>
    <w:rsid w:val="00311E3F"/>
    <w:rsid w:val="00314B1E"/>
    <w:rsid w:val="00322003"/>
    <w:rsid w:val="00334468"/>
    <w:rsid w:val="0033737F"/>
    <w:rsid w:val="00353652"/>
    <w:rsid w:val="003569E1"/>
    <w:rsid w:val="003815E2"/>
    <w:rsid w:val="00381FAD"/>
    <w:rsid w:val="00382A66"/>
    <w:rsid w:val="00384AE2"/>
    <w:rsid w:val="003923B1"/>
    <w:rsid w:val="003965FE"/>
    <w:rsid w:val="00397C17"/>
    <w:rsid w:val="003B27AD"/>
    <w:rsid w:val="003B4F23"/>
    <w:rsid w:val="003C12F6"/>
    <w:rsid w:val="003C2B09"/>
    <w:rsid w:val="003C3A13"/>
    <w:rsid w:val="003E02EF"/>
    <w:rsid w:val="003E1D90"/>
    <w:rsid w:val="003F398A"/>
    <w:rsid w:val="00400CD4"/>
    <w:rsid w:val="00401F71"/>
    <w:rsid w:val="004147B9"/>
    <w:rsid w:val="00422C04"/>
    <w:rsid w:val="00423A40"/>
    <w:rsid w:val="00426144"/>
    <w:rsid w:val="004330BE"/>
    <w:rsid w:val="00453A3C"/>
    <w:rsid w:val="004636E2"/>
    <w:rsid w:val="00470CBD"/>
    <w:rsid w:val="0047407D"/>
    <w:rsid w:val="00483AAE"/>
    <w:rsid w:val="00486B2B"/>
    <w:rsid w:val="004909DD"/>
    <w:rsid w:val="004A05E6"/>
    <w:rsid w:val="004A3FE7"/>
    <w:rsid w:val="004A6230"/>
    <w:rsid w:val="004A6C66"/>
    <w:rsid w:val="004A7AA0"/>
    <w:rsid w:val="004C11BC"/>
    <w:rsid w:val="004C3050"/>
    <w:rsid w:val="004C5C04"/>
    <w:rsid w:val="004D0448"/>
    <w:rsid w:val="004D4AE6"/>
    <w:rsid w:val="004E2A5D"/>
    <w:rsid w:val="00505FCA"/>
    <w:rsid w:val="00510C2D"/>
    <w:rsid w:val="005166A4"/>
    <w:rsid w:val="005169F4"/>
    <w:rsid w:val="005210D1"/>
    <w:rsid w:val="00523146"/>
    <w:rsid w:val="00523275"/>
    <w:rsid w:val="00523D37"/>
    <w:rsid w:val="00531DC7"/>
    <w:rsid w:val="005350B0"/>
    <w:rsid w:val="005431B5"/>
    <w:rsid w:val="00546A99"/>
    <w:rsid w:val="00546F0D"/>
    <w:rsid w:val="00553411"/>
    <w:rsid w:val="00554AE7"/>
    <w:rsid w:val="00564746"/>
    <w:rsid w:val="0056512C"/>
    <w:rsid w:val="005730DF"/>
    <w:rsid w:val="00576D0A"/>
    <w:rsid w:val="00576FCC"/>
    <w:rsid w:val="00584333"/>
    <w:rsid w:val="00586B66"/>
    <w:rsid w:val="005953EC"/>
    <w:rsid w:val="005B00A1"/>
    <w:rsid w:val="005B1F2C"/>
    <w:rsid w:val="005C29C8"/>
    <w:rsid w:val="005C3880"/>
    <w:rsid w:val="005C5D25"/>
    <w:rsid w:val="005D2606"/>
    <w:rsid w:val="005D5B3A"/>
    <w:rsid w:val="005D6D48"/>
    <w:rsid w:val="005D72A4"/>
    <w:rsid w:val="005F05CC"/>
    <w:rsid w:val="005F65DE"/>
    <w:rsid w:val="00604D93"/>
    <w:rsid w:val="00613492"/>
    <w:rsid w:val="00630905"/>
    <w:rsid w:val="006315B5"/>
    <w:rsid w:val="00653585"/>
    <w:rsid w:val="0065562F"/>
    <w:rsid w:val="006627C3"/>
    <w:rsid w:val="00672277"/>
    <w:rsid w:val="006779A4"/>
    <w:rsid w:val="00680A38"/>
    <w:rsid w:val="00680A66"/>
    <w:rsid w:val="00681391"/>
    <w:rsid w:val="00694690"/>
    <w:rsid w:val="0069526C"/>
    <w:rsid w:val="006A12AC"/>
    <w:rsid w:val="006A2162"/>
    <w:rsid w:val="006B4B90"/>
    <w:rsid w:val="006B600C"/>
    <w:rsid w:val="006B658C"/>
    <w:rsid w:val="006C503F"/>
    <w:rsid w:val="006D2674"/>
    <w:rsid w:val="006E38D0"/>
    <w:rsid w:val="006E465B"/>
    <w:rsid w:val="006F0A22"/>
    <w:rsid w:val="006F70BF"/>
    <w:rsid w:val="00716B1D"/>
    <w:rsid w:val="007248EC"/>
    <w:rsid w:val="007263B4"/>
    <w:rsid w:val="00726744"/>
    <w:rsid w:val="00731150"/>
    <w:rsid w:val="00734E41"/>
    <w:rsid w:val="00736DCC"/>
    <w:rsid w:val="00741855"/>
    <w:rsid w:val="00742B73"/>
    <w:rsid w:val="00751251"/>
    <w:rsid w:val="007610E7"/>
    <w:rsid w:val="00764079"/>
    <w:rsid w:val="00770AA0"/>
    <w:rsid w:val="007710F5"/>
    <w:rsid w:val="00771F7E"/>
    <w:rsid w:val="00773E9C"/>
    <w:rsid w:val="00776F6B"/>
    <w:rsid w:val="00777694"/>
    <w:rsid w:val="00786A7E"/>
    <w:rsid w:val="00790154"/>
    <w:rsid w:val="007A0802"/>
    <w:rsid w:val="007A3A06"/>
    <w:rsid w:val="007B1FCA"/>
    <w:rsid w:val="007C2C12"/>
    <w:rsid w:val="007C3CFA"/>
    <w:rsid w:val="007C7B32"/>
    <w:rsid w:val="007D7755"/>
    <w:rsid w:val="007E0607"/>
    <w:rsid w:val="007E0E8B"/>
    <w:rsid w:val="007E6847"/>
    <w:rsid w:val="007E6B0A"/>
    <w:rsid w:val="007F08CA"/>
    <w:rsid w:val="007F6388"/>
    <w:rsid w:val="007F7FC3"/>
    <w:rsid w:val="008031C5"/>
    <w:rsid w:val="00810482"/>
    <w:rsid w:val="00817568"/>
    <w:rsid w:val="008204AC"/>
    <w:rsid w:val="008261C2"/>
    <w:rsid w:val="00830D96"/>
    <w:rsid w:val="00841D03"/>
    <w:rsid w:val="0085569D"/>
    <w:rsid w:val="00855B59"/>
    <w:rsid w:val="0085774F"/>
    <w:rsid w:val="008614B8"/>
    <w:rsid w:val="008657CB"/>
    <w:rsid w:val="00873A6F"/>
    <w:rsid w:val="0088384B"/>
    <w:rsid w:val="00884282"/>
    <w:rsid w:val="00893E53"/>
    <w:rsid w:val="008A1137"/>
    <w:rsid w:val="008A1788"/>
    <w:rsid w:val="008A1E64"/>
    <w:rsid w:val="008A3E57"/>
    <w:rsid w:val="008A4185"/>
    <w:rsid w:val="008A6552"/>
    <w:rsid w:val="008B4E93"/>
    <w:rsid w:val="008B52B7"/>
    <w:rsid w:val="008C0EF4"/>
    <w:rsid w:val="008C3818"/>
    <w:rsid w:val="008D68E5"/>
    <w:rsid w:val="008D6ACC"/>
    <w:rsid w:val="008D7AF0"/>
    <w:rsid w:val="008E2CBE"/>
    <w:rsid w:val="008E32DD"/>
    <w:rsid w:val="008F4626"/>
    <w:rsid w:val="00900362"/>
    <w:rsid w:val="009004DF"/>
    <w:rsid w:val="00904AA5"/>
    <w:rsid w:val="009515E5"/>
    <w:rsid w:val="00951718"/>
    <w:rsid w:val="00960962"/>
    <w:rsid w:val="00972CE0"/>
    <w:rsid w:val="009A3D30"/>
    <w:rsid w:val="009B6969"/>
    <w:rsid w:val="009C13BE"/>
    <w:rsid w:val="009D6348"/>
    <w:rsid w:val="009E5007"/>
    <w:rsid w:val="009E613F"/>
    <w:rsid w:val="009F042B"/>
    <w:rsid w:val="00A03FD6"/>
    <w:rsid w:val="00A04CF4"/>
    <w:rsid w:val="00A116A8"/>
    <w:rsid w:val="00A17E61"/>
    <w:rsid w:val="00A22AE9"/>
    <w:rsid w:val="00A26758"/>
    <w:rsid w:val="00A26D0E"/>
    <w:rsid w:val="00A27205"/>
    <w:rsid w:val="00A278E9"/>
    <w:rsid w:val="00A33A95"/>
    <w:rsid w:val="00A3451F"/>
    <w:rsid w:val="00A3584A"/>
    <w:rsid w:val="00A35E1F"/>
    <w:rsid w:val="00A36268"/>
    <w:rsid w:val="00A375BD"/>
    <w:rsid w:val="00A40B2C"/>
    <w:rsid w:val="00A42ADC"/>
    <w:rsid w:val="00A66D2B"/>
    <w:rsid w:val="00A73430"/>
    <w:rsid w:val="00A809E8"/>
    <w:rsid w:val="00A84D26"/>
    <w:rsid w:val="00A870AD"/>
    <w:rsid w:val="00A90843"/>
    <w:rsid w:val="00A9645C"/>
    <w:rsid w:val="00AA6493"/>
    <w:rsid w:val="00AA6EF1"/>
    <w:rsid w:val="00AB2A33"/>
    <w:rsid w:val="00AC1275"/>
    <w:rsid w:val="00AC7395"/>
    <w:rsid w:val="00AD0C67"/>
    <w:rsid w:val="00AD162B"/>
    <w:rsid w:val="00AD538E"/>
    <w:rsid w:val="00AD690F"/>
    <w:rsid w:val="00AD69DD"/>
    <w:rsid w:val="00AE6B26"/>
    <w:rsid w:val="00AF22C1"/>
    <w:rsid w:val="00AF3EFA"/>
    <w:rsid w:val="00AF41D1"/>
    <w:rsid w:val="00AF5453"/>
    <w:rsid w:val="00B01623"/>
    <w:rsid w:val="00B033DF"/>
    <w:rsid w:val="00B039AD"/>
    <w:rsid w:val="00B07CEE"/>
    <w:rsid w:val="00B12661"/>
    <w:rsid w:val="00B16045"/>
    <w:rsid w:val="00B1667D"/>
    <w:rsid w:val="00B1714C"/>
    <w:rsid w:val="00B357E9"/>
    <w:rsid w:val="00B4164D"/>
    <w:rsid w:val="00B425C1"/>
    <w:rsid w:val="00B606BA"/>
    <w:rsid w:val="00B63EAC"/>
    <w:rsid w:val="00B66817"/>
    <w:rsid w:val="00B71E3B"/>
    <w:rsid w:val="00B721D5"/>
    <w:rsid w:val="00B81CB5"/>
    <w:rsid w:val="00B8351F"/>
    <w:rsid w:val="00B843E2"/>
    <w:rsid w:val="00B86C44"/>
    <w:rsid w:val="00B9727C"/>
    <w:rsid w:val="00BA7D44"/>
    <w:rsid w:val="00BC06C0"/>
    <w:rsid w:val="00BD4260"/>
    <w:rsid w:val="00BD6291"/>
    <w:rsid w:val="00BD6EF3"/>
    <w:rsid w:val="00BE69C3"/>
    <w:rsid w:val="00BF50CB"/>
    <w:rsid w:val="00C1165E"/>
    <w:rsid w:val="00C22074"/>
    <w:rsid w:val="00C2377B"/>
    <w:rsid w:val="00C24B07"/>
    <w:rsid w:val="00C34E09"/>
    <w:rsid w:val="00C3693C"/>
    <w:rsid w:val="00C53F6F"/>
    <w:rsid w:val="00C5489D"/>
    <w:rsid w:val="00C71759"/>
    <w:rsid w:val="00C8199C"/>
    <w:rsid w:val="00C84112"/>
    <w:rsid w:val="00C841EB"/>
    <w:rsid w:val="00C8665F"/>
    <w:rsid w:val="00C917B5"/>
    <w:rsid w:val="00C94DFA"/>
    <w:rsid w:val="00CA298C"/>
    <w:rsid w:val="00CB2176"/>
    <w:rsid w:val="00CB2BF9"/>
    <w:rsid w:val="00CB4300"/>
    <w:rsid w:val="00CB454E"/>
    <w:rsid w:val="00CB49DF"/>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64754"/>
    <w:rsid w:val="00D81703"/>
    <w:rsid w:val="00D82929"/>
    <w:rsid w:val="00D84214"/>
    <w:rsid w:val="00D943E5"/>
    <w:rsid w:val="00DA1AE0"/>
    <w:rsid w:val="00DC29DD"/>
    <w:rsid w:val="00DC7C0E"/>
    <w:rsid w:val="00DE1E82"/>
    <w:rsid w:val="00DE7387"/>
    <w:rsid w:val="00DF2A6A"/>
    <w:rsid w:val="00DF3B72"/>
    <w:rsid w:val="00E10821"/>
    <w:rsid w:val="00E24183"/>
    <w:rsid w:val="00E2489D"/>
    <w:rsid w:val="00E26520"/>
    <w:rsid w:val="00E343A3"/>
    <w:rsid w:val="00E51BFA"/>
    <w:rsid w:val="00E56357"/>
    <w:rsid w:val="00E621A3"/>
    <w:rsid w:val="00E64105"/>
    <w:rsid w:val="00E833BC"/>
    <w:rsid w:val="00E8580E"/>
    <w:rsid w:val="00E86487"/>
    <w:rsid w:val="00E97E21"/>
    <w:rsid w:val="00EA1B76"/>
    <w:rsid w:val="00EA77D7"/>
    <w:rsid w:val="00EC09B9"/>
    <w:rsid w:val="00ED048C"/>
    <w:rsid w:val="00EE60E9"/>
    <w:rsid w:val="00EF38AF"/>
    <w:rsid w:val="00EF75CD"/>
    <w:rsid w:val="00F00143"/>
    <w:rsid w:val="00F055F8"/>
    <w:rsid w:val="00F10CB4"/>
    <w:rsid w:val="00F11B3D"/>
    <w:rsid w:val="00F12CBD"/>
    <w:rsid w:val="00F13487"/>
    <w:rsid w:val="00F146AC"/>
    <w:rsid w:val="00F14763"/>
    <w:rsid w:val="00F16212"/>
    <w:rsid w:val="00F16602"/>
    <w:rsid w:val="00F230AE"/>
    <w:rsid w:val="00F25B80"/>
    <w:rsid w:val="00F2685F"/>
    <w:rsid w:val="00F33A34"/>
    <w:rsid w:val="00F350C8"/>
    <w:rsid w:val="00F54FC6"/>
    <w:rsid w:val="00F55AC1"/>
    <w:rsid w:val="00F84613"/>
    <w:rsid w:val="00F8654D"/>
    <w:rsid w:val="00F900C9"/>
    <w:rsid w:val="00F92C96"/>
    <w:rsid w:val="00F97D1C"/>
    <w:rsid w:val="00FA0D4E"/>
    <w:rsid w:val="00FB0753"/>
    <w:rsid w:val="00FB5CC8"/>
    <w:rsid w:val="00FC2CD0"/>
    <w:rsid w:val="00FC715A"/>
    <w:rsid w:val="00FC7FD8"/>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3228B"/>
  <w15:docId w15:val="{57DD74D5-CC82-4217-8287-BADD0C9E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600C"/>
    <w:pPr>
      <w:tabs>
        <w:tab w:val="left" w:pos="794"/>
        <w:tab w:val="left" w:pos="1191"/>
        <w:tab w:val="left" w:pos="1588"/>
        <w:tab w:val="left" w:pos="1985"/>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left" w:leader="dot" w:pos="9072"/>
        <w:tab w:val="left" w:pos="9407"/>
      </w:tabs>
      <w:spacing w:before="80"/>
      <w:ind w:left="1701" w:right="567" w:hanging="1134"/>
    </w:pPr>
  </w:style>
  <w:style w:type="paragraph" w:styleId="TOC1">
    <w:name w:val="toc 1"/>
    <w:basedOn w:val="Normal"/>
    <w:rsid w:val="00873A6F"/>
    <w:pPr>
      <w:tabs>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uiPriority w:val="99"/>
    <w:qFormat/>
    <w:rsid w:val="005431B5"/>
    <w:rPr>
      <w:rFonts w:ascii="Dubai" w:hAnsi="Dubai" w:cs="Dubai"/>
      <w:position w:val="6"/>
      <w:sz w:val="18"/>
      <w:szCs w:val="18"/>
    </w:rPr>
  </w:style>
  <w:style w:type="paragraph" w:styleId="FootnoteText">
    <w:name w:val="footnote text"/>
    <w:basedOn w:val="Normal"/>
    <w:link w:val="FootnoteTextChar"/>
    <w:uiPriority w:val="99"/>
    <w:qFormat/>
    <w:rsid w:val="00F230AE"/>
    <w:pPr>
      <w:keepLines/>
      <w:tabs>
        <w:tab w:val="left" w:pos="372"/>
      </w:tabs>
      <w:spacing w:before="60"/>
    </w:pPr>
    <w:rPr>
      <w:sz w:val="20"/>
      <w:szCs w:val="20"/>
      <w:lang w:bidi="ar-EG"/>
    </w:rPr>
  </w:style>
  <w:style w:type="character" w:customStyle="1" w:styleId="FootnoteTextChar">
    <w:name w:val="Footnote Text Char"/>
    <w:basedOn w:val="DefaultParagraphFont"/>
    <w:link w:val="FootnoteText"/>
    <w:uiPriority w:val="99"/>
    <w:rsid w:val="00F230AE"/>
    <w:rPr>
      <w:rFonts w:ascii="Dubai" w:hAnsi="Dubai" w:cs="Dubai"/>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AD538E"/>
    <w:pPr>
      <w:tabs>
        <w:tab w:val="center" w:pos="4680"/>
        <w:tab w:val="right" w:pos="9360"/>
      </w:tabs>
      <w:jc w:val="center"/>
    </w:pPr>
  </w:style>
  <w:style w:type="character" w:customStyle="1" w:styleId="HeaderChar">
    <w:name w:val="Header Char"/>
    <w:basedOn w:val="DefaultParagraphFont"/>
    <w:link w:val="Header"/>
    <w:rsid w:val="00AD538E"/>
    <w:rPr>
      <w:rFonts w:ascii="Dubai" w:hAnsi="Dubai" w:cs="Dubai"/>
      <w:sz w:val="22"/>
      <w:szCs w:val="22"/>
      <w:lang w:eastAsia="en-US"/>
    </w:rPr>
  </w:style>
  <w:style w:type="paragraph" w:customStyle="1" w:styleId="Note">
    <w:name w:val="Note"/>
    <w:basedOn w:val="Normal"/>
    <w:qFormat/>
    <w:rsid w:val="00523D37"/>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rsid w:val="007263B4"/>
    <w:pPr>
      <w:keepNext/>
      <w:keepLines/>
      <w:spacing w:before="180"/>
      <w:ind w:firstLine="794"/>
    </w:pPr>
    <w:rPr>
      <w:i/>
      <w:iCs/>
    </w:rPr>
  </w:style>
  <w:style w:type="character" w:customStyle="1" w:styleId="CallChar">
    <w:name w:val="Call Char"/>
    <w:basedOn w:val="DefaultParagraphFont"/>
    <w:link w:val="Call"/>
    <w:locked/>
    <w:rsid w:val="007263B4"/>
    <w:rPr>
      <w:rFonts w:ascii="Dubai" w:hAnsi="Dubai" w:cs="Dubai"/>
      <w:i/>
      <w:iCs/>
      <w:sz w:val="22"/>
      <w:szCs w:val="22"/>
      <w:lang w:eastAsia="en-US"/>
    </w:rPr>
  </w:style>
  <w:style w:type="paragraph" w:customStyle="1" w:styleId="enumlev1">
    <w:name w:val="enumlev1"/>
    <w:basedOn w:val="Normal"/>
    <w:next w:val="Normal"/>
    <w:link w:val="enumlev1Char"/>
    <w:qFormat/>
    <w:rsid w:val="007263B4"/>
    <w:pPr>
      <w:tabs>
        <w:tab w:val="left" w:pos="2608"/>
        <w:tab w:val="left" w:pos="3345"/>
      </w:tabs>
      <w:spacing w:before="80"/>
      <w:ind w:left="794" w:hanging="794"/>
    </w:pPr>
  </w:style>
  <w:style w:type="character" w:customStyle="1" w:styleId="enumlev1Char">
    <w:name w:val="enumlev1 Char"/>
    <w:basedOn w:val="DefaultParagraphFont"/>
    <w:link w:val="enumlev1"/>
    <w:rsid w:val="007263B4"/>
    <w:rPr>
      <w:rFonts w:ascii="Dubai" w:hAnsi="Dubai" w:cs="Dubai"/>
      <w:sz w:val="22"/>
      <w:szCs w:val="22"/>
      <w:lang w:eastAsia="en-US"/>
    </w:rPr>
  </w:style>
  <w:style w:type="paragraph" w:customStyle="1" w:styleId="enumlev2">
    <w:name w:val="enumlev2"/>
    <w:basedOn w:val="enumlev1"/>
    <w:next w:val="Normal"/>
    <w:link w:val="enumlev2Char"/>
    <w:qFormat/>
    <w:rsid w:val="007263B4"/>
    <w:pPr>
      <w:ind w:left="1191" w:hanging="397"/>
    </w:pPr>
  </w:style>
  <w:style w:type="character" w:customStyle="1" w:styleId="enumlev2Char">
    <w:name w:val="enumlev2 Char"/>
    <w:basedOn w:val="enumlev1Char"/>
    <w:link w:val="enumlev2"/>
    <w:rsid w:val="007263B4"/>
    <w:rPr>
      <w:rFonts w:ascii="Dubai" w:hAnsi="Dubai" w:cs="Dubai"/>
      <w:sz w:val="22"/>
      <w:szCs w:val="22"/>
      <w:lang w:eastAsia="en-US"/>
    </w:rPr>
  </w:style>
  <w:style w:type="paragraph" w:customStyle="1" w:styleId="enumlev3">
    <w:name w:val="enumlev3"/>
    <w:basedOn w:val="enumlev2"/>
    <w:next w:val="Normal"/>
    <w:link w:val="enumlev3Char"/>
    <w:qFormat/>
    <w:rsid w:val="007263B4"/>
    <w:pPr>
      <w:ind w:left="1588"/>
    </w:pPr>
  </w:style>
  <w:style w:type="character" w:customStyle="1" w:styleId="enumlev3Char">
    <w:name w:val="enumlev3 Char"/>
    <w:basedOn w:val="enumlev2Char"/>
    <w:link w:val="enumlev3"/>
    <w:rsid w:val="007263B4"/>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7263B4"/>
    <w:pPr>
      <w:keepNext/>
      <w:keepLines/>
      <w:tabs>
        <w:tab w:val="clear" w:pos="794"/>
        <w:tab w:val="clear" w:pos="1191"/>
        <w:tab w:val="clear" w:pos="1588"/>
        <w:tab w:val="clear" w:pos="1985"/>
        <w:tab w:val="left" w:pos="1134"/>
      </w:tab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clear" w:pos="1191"/>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486B2B"/>
    <w:pPr>
      <w:spacing w:after="360"/>
    </w:pPr>
    <w:rPr>
      <w:b/>
      <w:bCs/>
      <w:sz w:val="30"/>
      <w:szCs w:val="30"/>
    </w:rPr>
  </w:style>
  <w:style w:type="paragraph" w:customStyle="1" w:styleId="Equationlegend">
    <w:name w:val="Equation_legend"/>
    <w:basedOn w:val="NormalIndent"/>
    <w:rsid w:val="007710F5"/>
    <w:pPr>
      <w:tabs>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701"/>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left" w:pos="284"/>
        <w:tab w:val="left" w:pos="567"/>
        <w:tab w:val="left" w:pos="851"/>
        <w:tab w:val="left" w:pos="1021"/>
        <w:tab w:val="left" w:pos="1418"/>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ind w:left="221" w:hanging="221"/>
    </w:pPr>
  </w:style>
  <w:style w:type="paragraph" w:styleId="TableofFigures">
    <w:name w:val="table of figures"/>
    <w:basedOn w:val="Normal"/>
    <w:next w:val="Normal"/>
    <w:semiHidden/>
    <w:unhideWhenUsed/>
    <w:rsid w:val="00A04CF4"/>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ref">
    <w:name w:val="Res_ref"/>
    <w:basedOn w:val="Normal"/>
    <w:qFormat/>
    <w:rsid w:val="0023289F"/>
    <w:pPr>
      <w:jc w:val="center"/>
    </w:pPr>
    <w:rPr>
      <w:i/>
      <w:iCs/>
    </w:rPr>
  </w:style>
  <w:style w:type="paragraph" w:customStyle="1" w:styleId="Sectiontitle">
    <w:name w:val="Section_title"/>
    <w:basedOn w:val="Section1"/>
    <w:qFormat/>
    <w:rsid w:val="00790154"/>
  </w:style>
  <w:style w:type="paragraph" w:customStyle="1" w:styleId="OpinionNo">
    <w:name w:val="Opinion_No"/>
    <w:basedOn w:val="AnnexNo"/>
    <w:qFormat/>
    <w:rsid w:val="00AA6493"/>
    <w:pPr>
      <w:keepLines/>
      <w:framePr w:hSpace="181" w:wrap="around" w:vAnchor="page" w:hAnchor="text" w:xAlign="right" w:y="721"/>
    </w:pPr>
  </w:style>
  <w:style w:type="paragraph" w:customStyle="1" w:styleId="Opiniontitle">
    <w:name w:val="Opinion_title"/>
    <w:basedOn w:val="Annextitle"/>
    <w:qFormat/>
    <w:rsid w:val="00AA6493"/>
    <w:pPr>
      <w:keepLines/>
    </w:pPr>
    <w:rPr>
      <w:lang w:bidi="ar-EG"/>
    </w:rPr>
  </w:style>
  <w:style w:type="paragraph" w:customStyle="1" w:styleId="Opinionref">
    <w:name w:val="Opinion_ref"/>
    <w:basedOn w:val="Resref"/>
    <w:qFormat/>
    <w:rsid w:val="00AA6493"/>
    <w:pPr>
      <w:keepNext/>
    </w:pPr>
  </w:style>
  <w:style w:type="paragraph" w:customStyle="1" w:styleId="Figurelegend">
    <w:name w:val="Figure_legend"/>
    <w:basedOn w:val="Equationlegend"/>
    <w:qFormat/>
    <w:rsid w:val="007710F5"/>
    <w:pPr>
      <w:ind w:left="0" w:firstLine="0"/>
    </w:pPr>
    <w:rPr>
      <w:sz w:val="20"/>
      <w:szCs w:val="20"/>
    </w:rPr>
  </w:style>
  <w:style w:type="paragraph" w:customStyle="1" w:styleId="Title4">
    <w:name w:val="Title 4"/>
    <w:basedOn w:val="Title2"/>
    <w:qFormat/>
    <w:rsid w:val="00E56357"/>
    <w:pPr>
      <w:spacing w:before="360"/>
    </w:pPr>
    <w:rPr>
      <w:sz w:val="24"/>
      <w:szCs w:val="24"/>
    </w:rPr>
  </w:style>
  <w:style w:type="paragraph" w:customStyle="1" w:styleId="enumlev10">
    <w:name w:val="enumlev 1"/>
    <w:basedOn w:val="Normal"/>
    <w:qFormat/>
    <w:rsid w:val="004A3FE7"/>
    <w:pPr>
      <w:tabs>
        <w:tab w:val="clear" w:pos="1191"/>
        <w:tab w:val="clear" w:pos="1588"/>
        <w:tab w:val="clear" w:pos="1985"/>
      </w:tabs>
      <w:spacing w:before="80"/>
      <w:ind w:left="794" w:hanging="794"/>
      <w:outlineLvl w:val="0"/>
    </w:pPr>
    <w:rPr>
      <w:rFonts w:eastAsiaTheme="minorEastAsia"/>
      <w:lang w:eastAsia="zh-CN"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ilel.jamoussi@itu.int" TargetMode="External"/><Relationship Id="rId18" Type="http://schemas.openxmlformats.org/officeDocument/2006/relationships/hyperlink" Target="https://www.itu.int/en/itu-wsis/Pages/default.aspx" TargetMode="External"/><Relationship Id="rId26" Type="http://schemas.openxmlformats.org/officeDocument/2006/relationships/hyperlink" Target="https://www.itu.int/rec/T-REC-L.1471" TargetMode="External"/><Relationship Id="rId39" Type="http://schemas.openxmlformats.org/officeDocument/2006/relationships/fontTable" Target="fontTable.xml"/><Relationship Id="rId21" Type="http://schemas.openxmlformats.org/officeDocument/2006/relationships/hyperlink" Target="https://www.itu.int/en/publications/Documents/tsb/2017-U4SSC-Collection-Methodology/files/downloads/421318-CollectionMethodologyforKPIfoSSC-2017.pdf" TargetMode="External"/><Relationship Id="rId34" Type="http://schemas.openxmlformats.org/officeDocument/2006/relationships/hyperlink" Target="https://digitalpublicgoods.net/standard/"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unfccc.int/process-and-meetings/the-paris-agreement/the-paris-agreement" TargetMode="External"/><Relationship Id="rId25" Type="http://schemas.openxmlformats.org/officeDocument/2006/relationships/hyperlink" Target="https://www.itu.int/ITU-T/recommendations/rec.aspx?rec=14301" TargetMode="External"/><Relationship Id="rId33" Type="http://schemas.openxmlformats.org/officeDocument/2006/relationships/hyperlink" Target="https://www.itu.int/en/ITU-T/focusgroups/ai4h/Pages/default.aspx"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unfccc.int/documents/310475" TargetMode="External"/><Relationship Id="rId20" Type="http://schemas.openxmlformats.org/officeDocument/2006/relationships/hyperlink" Target="https://u4ssc.itu.int/" TargetMode="External"/><Relationship Id="rId29" Type="http://schemas.openxmlformats.org/officeDocument/2006/relationships/hyperlink" Target="https://www.itu.int/en/ITU-T/focusgroups/ai4ee/Pages/default.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en/ITU-T/focusgroups/ai4a/Pages/default.aspx" TargetMode="External"/><Relationship Id="rId32" Type="http://schemas.openxmlformats.org/officeDocument/2006/relationships/hyperlink" Target="https://www.itu.int/ITU-T/recommendations/rec.aspx?rec=13686"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un.org/sustainabledevelopment/development-agenda/" TargetMode="External"/><Relationship Id="rId23" Type="http://schemas.openxmlformats.org/officeDocument/2006/relationships/hyperlink" Target="https://www.itu.int/ITU-T/recommendations/rec.aspx?rec=13864" TargetMode="External"/><Relationship Id="rId28" Type="http://schemas.openxmlformats.org/officeDocument/2006/relationships/hyperlink" Target="https://www.itu.int/ITU-T/recommendations/rec.aspx?rec=14082"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gss.itu.int/programme/" TargetMode="External"/><Relationship Id="rId31" Type="http://schemas.openxmlformats.org/officeDocument/2006/relationships/hyperlink" Target="https://www.itu.int/en/ITU-T/focusgroups/ai4ad/Pages/default.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ss.itu.int/" TargetMode="External"/><Relationship Id="rId22" Type="http://schemas.openxmlformats.org/officeDocument/2006/relationships/hyperlink" Target="https://www.itu.int/ITU-T/recommendations/rec.aspx?rec=12884" TargetMode="External"/><Relationship Id="rId27" Type="http://schemas.openxmlformats.org/officeDocument/2006/relationships/hyperlink" Target="https://www.itu.int/rec/T-REC-L.1470" TargetMode="External"/><Relationship Id="rId30" Type="http://schemas.openxmlformats.org/officeDocument/2006/relationships/hyperlink" Target="https://aiforgood.itu.int/about/ai-ml-pre-standardization/ai4roadsafety/" TargetMode="External"/><Relationship Id="rId35" Type="http://schemas.openxmlformats.org/officeDocument/2006/relationships/header" Target="header1.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T17-WTSA.20-C-!MSW-A</DPM_x0020_File_x0020_name>
    <DPM_x0020_Author xmlns="32a1a8c5-2265-4ebc-b7a0-2071e2c5c9bb" xsi:nil="false">DPM</DPM_x0020_Author>
    <DPM_x0020_Version xmlns="32a1a8c5-2265-4ebc-b7a0-2071e2c5c9bb" xsi:nil="false">DPM_2019.11.13.01</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F16BD97-AB33-4628-B5A0-F495E0E09E6A}">
  <ds:schemaRefs>
    <ds:schemaRef ds:uri="http://schemas.openxmlformats.org/officeDocument/2006/bibliography"/>
  </ds:schemaRefs>
</ds:datastoreItem>
</file>

<file path=customXml/itemProps4.xml><?xml version="1.0" encoding="utf-8"?>
<ds:datastoreItem xmlns:ds="http://schemas.openxmlformats.org/officeDocument/2006/customXml" ds:itemID="{F3676BE2-9DDC-44E0-B90C-53AEC0FB9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E89676C-AB34-403F-B1FE-C87265C5FAB1}">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2419</Words>
  <Characters>15638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T17-WTSA.20-C-!MSW-A</vt:lpstr>
    </vt:vector>
  </TitlesOfParts>
  <Manager>General Secretariat - Pool</Manager>
  <Company>International Telecommunication Union (ITU)</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T17-WTSA.20-C-!MSW-A</dc:title>
  <dc:creator>Aly, Abdalla</dc:creator>
  <cp:keywords>DPM_v2019.11.13.1_test</cp:keywords>
  <cp:lastModifiedBy>Arabic</cp:lastModifiedBy>
  <cp:revision>30</cp:revision>
  <cp:lastPrinted>2019-06-26T10:10:00Z</cp:lastPrinted>
  <dcterms:created xsi:type="dcterms:W3CDTF">2022-03-01T08:15:00Z</dcterms:created>
  <dcterms:modified xsi:type="dcterms:W3CDTF">2022-03-01T09:08:00Z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