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1912"/>
        <w:gridCol w:w="4892"/>
        <w:gridCol w:w="3007"/>
      </w:tblGrid>
      <w:tr w:rsidR="00CF2532" w:rsidRPr="00337E5F" w14:paraId="6328DEA5" w14:textId="77777777" w:rsidTr="00CF2532">
        <w:trPr>
          <w:cantSplit/>
        </w:trPr>
        <w:tc>
          <w:tcPr>
            <w:tcW w:w="6804" w:type="dxa"/>
            <w:gridSpan w:val="2"/>
            <w:vAlign w:val="center"/>
          </w:tcPr>
          <w:p w14:paraId="4BCB3D2B" w14:textId="77777777" w:rsidR="00CF2532" w:rsidRPr="00337E5F" w:rsidRDefault="00CF2532" w:rsidP="006C62EF">
            <w:pPr>
              <w:rPr>
                <w:rFonts w:ascii="Verdana" w:hAnsi="Verdana" w:cs="Times New Roman Bold"/>
                <w:b/>
                <w:bCs/>
                <w:sz w:val="22"/>
                <w:szCs w:val="22"/>
                <w:lang w:val="fr-FR"/>
              </w:rPr>
            </w:pPr>
            <w:r w:rsidRPr="00337E5F">
              <w:rPr>
                <w:rFonts w:ascii="Verdana" w:hAnsi="Verdana" w:cs="Times New Roman Bold"/>
                <w:b/>
                <w:bCs/>
                <w:sz w:val="22"/>
                <w:szCs w:val="22"/>
                <w:lang w:val="fr-FR"/>
              </w:rPr>
              <w:t xml:space="preserve">Assemblée mondiale de normalisation </w:t>
            </w:r>
            <w:r w:rsidRPr="00337E5F">
              <w:rPr>
                <w:rFonts w:ascii="Verdana" w:hAnsi="Verdana" w:cs="Times New Roman Bold"/>
                <w:b/>
                <w:bCs/>
                <w:sz w:val="22"/>
                <w:szCs w:val="22"/>
                <w:lang w:val="fr-FR"/>
              </w:rPr>
              <w:br/>
              <w:t>des télécommunications (AMNT-20)</w:t>
            </w:r>
            <w:r w:rsidRPr="00337E5F">
              <w:rPr>
                <w:rFonts w:ascii="Verdana" w:hAnsi="Verdana" w:cs="Times New Roman Bold"/>
                <w:b/>
                <w:bCs/>
                <w:sz w:val="26"/>
                <w:szCs w:val="26"/>
                <w:lang w:val="fr-FR"/>
              </w:rPr>
              <w:br/>
            </w:r>
            <w:r w:rsidR="00A4071B" w:rsidRPr="00337E5F">
              <w:rPr>
                <w:rFonts w:ascii="Verdana" w:hAnsi="Verdana" w:cs="Times New Roman Bold"/>
                <w:b/>
                <w:bCs/>
                <w:sz w:val="18"/>
                <w:szCs w:val="18"/>
                <w:lang w:val="fr-FR"/>
              </w:rPr>
              <w:t>Genève</w:t>
            </w:r>
            <w:r w:rsidR="004B35D2" w:rsidRPr="00337E5F">
              <w:rPr>
                <w:rFonts w:ascii="Verdana" w:hAnsi="Verdana" w:cs="Times New Roman Bold"/>
                <w:b/>
                <w:bCs/>
                <w:sz w:val="18"/>
                <w:szCs w:val="18"/>
                <w:lang w:val="fr-FR"/>
              </w:rPr>
              <w:t>, 1</w:t>
            </w:r>
            <w:r w:rsidR="00153859" w:rsidRPr="00337E5F">
              <w:rPr>
                <w:rFonts w:ascii="Verdana" w:hAnsi="Verdana" w:cs="Times New Roman Bold"/>
                <w:b/>
                <w:bCs/>
                <w:sz w:val="18"/>
                <w:szCs w:val="18"/>
                <w:lang w:val="fr-FR"/>
              </w:rPr>
              <w:t>er</w:t>
            </w:r>
            <w:r w:rsidR="00CE36EA" w:rsidRPr="00337E5F">
              <w:rPr>
                <w:rFonts w:ascii="Verdana" w:hAnsi="Verdana" w:cs="Times New Roman Bold"/>
                <w:b/>
                <w:bCs/>
                <w:sz w:val="18"/>
                <w:szCs w:val="18"/>
                <w:lang w:val="fr-FR"/>
              </w:rPr>
              <w:t>-</w:t>
            </w:r>
            <w:r w:rsidR="005E28A3" w:rsidRPr="00337E5F">
              <w:rPr>
                <w:rFonts w:ascii="Verdana" w:hAnsi="Verdana" w:cs="Times New Roman Bold"/>
                <w:b/>
                <w:bCs/>
                <w:sz w:val="18"/>
                <w:szCs w:val="18"/>
                <w:lang w:val="fr-FR"/>
              </w:rPr>
              <w:t>9</w:t>
            </w:r>
            <w:r w:rsidR="00CE36EA" w:rsidRPr="00337E5F">
              <w:rPr>
                <w:rFonts w:ascii="Verdana" w:hAnsi="Verdana" w:cs="Times New Roman Bold"/>
                <w:b/>
                <w:bCs/>
                <w:sz w:val="18"/>
                <w:szCs w:val="18"/>
                <w:lang w:val="fr-FR"/>
              </w:rPr>
              <w:t xml:space="preserve"> mars 202</w:t>
            </w:r>
            <w:r w:rsidR="004B35D2" w:rsidRPr="00337E5F">
              <w:rPr>
                <w:rFonts w:ascii="Verdana" w:hAnsi="Verdana" w:cs="Times New Roman Bold"/>
                <w:b/>
                <w:bCs/>
                <w:sz w:val="18"/>
                <w:szCs w:val="18"/>
                <w:lang w:val="fr-FR"/>
              </w:rPr>
              <w:t>2</w:t>
            </w:r>
          </w:p>
        </w:tc>
        <w:tc>
          <w:tcPr>
            <w:tcW w:w="3007" w:type="dxa"/>
            <w:vAlign w:val="center"/>
          </w:tcPr>
          <w:p w14:paraId="4EF68A6A" w14:textId="77777777" w:rsidR="00CF2532" w:rsidRPr="00337E5F" w:rsidRDefault="00CF2532" w:rsidP="006C62EF">
            <w:pPr>
              <w:spacing w:before="0"/>
              <w:rPr>
                <w:lang w:val="fr-FR"/>
              </w:rPr>
            </w:pPr>
            <w:r w:rsidRPr="00337E5F">
              <w:rPr>
                <w:lang w:val="fr-FR"/>
              </w:rPr>
              <w:drawing>
                <wp:inline distT="0" distB="0" distL="0" distR="0" wp14:anchorId="74AA754B" wp14:editId="4A62A31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337E5F" w14:paraId="303B5C27" w14:textId="77777777" w:rsidTr="00530525">
        <w:trPr>
          <w:cantSplit/>
        </w:trPr>
        <w:tc>
          <w:tcPr>
            <w:tcW w:w="6804" w:type="dxa"/>
            <w:gridSpan w:val="2"/>
            <w:tcBorders>
              <w:bottom w:val="single" w:sz="12" w:space="0" w:color="auto"/>
            </w:tcBorders>
          </w:tcPr>
          <w:p w14:paraId="31F24D7D" w14:textId="77777777" w:rsidR="00595780" w:rsidRPr="00337E5F" w:rsidRDefault="00595780" w:rsidP="006C62EF">
            <w:pPr>
              <w:spacing w:before="0"/>
              <w:rPr>
                <w:lang w:val="fr-FR"/>
              </w:rPr>
            </w:pPr>
          </w:p>
        </w:tc>
        <w:tc>
          <w:tcPr>
            <w:tcW w:w="3007" w:type="dxa"/>
            <w:tcBorders>
              <w:bottom w:val="single" w:sz="12" w:space="0" w:color="auto"/>
            </w:tcBorders>
          </w:tcPr>
          <w:p w14:paraId="37937D51" w14:textId="77777777" w:rsidR="00595780" w:rsidRPr="00337E5F" w:rsidRDefault="00595780" w:rsidP="006C62EF">
            <w:pPr>
              <w:spacing w:before="0"/>
              <w:rPr>
                <w:lang w:val="fr-FR"/>
              </w:rPr>
            </w:pPr>
          </w:p>
        </w:tc>
      </w:tr>
      <w:tr w:rsidR="001D581B" w:rsidRPr="00337E5F" w14:paraId="6C090FB4" w14:textId="77777777" w:rsidTr="00530525">
        <w:trPr>
          <w:cantSplit/>
        </w:trPr>
        <w:tc>
          <w:tcPr>
            <w:tcW w:w="6804" w:type="dxa"/>
            <w:gridSpan w:val="2"/>
            <w:tcBorders>
              <w:top w:val="single" w:sz="12" w:space="0" w:color="auto"/>
            </w:tcBorders>
          </w:tcPr>
          <w:p w14:paraId="704B01D5" w14:textId="77777777" w:rsidR="00595780" w:rsidRPr="00337E5F" w:rsidRDefault="00595780" w:rsidP="006C62EF">
            <w:pPr>
              <w:spacing w:before="0"/>
              <w:rPr>
                <w:lang w:val="fr-FR"/>
              </w:rPr>
            </w:pPr>
          </w:p>
        </w:tc>
        <w:tc>
          <w:tcPr>
            <w:tcW w:w="3007" w:type="dxa"/>
          </w:tcPr>
          <w:p w14:paraId="08923507" w14:textId="77777777" w:rsidR="00595780" w:rsidRPr="00337E5F" w:rsidRDefault="00595780" w:rsidP="006C62EF">
            <w:pPr>
              <w:spacing w:before="0"/>
              <w:rPr>
                <w:rFonts w:ascii="Verdana" w:hAnsi="Verdana"/>
                <w:b/>
                <w:bCs/>
                <w:sz w:val="20"/>
                <w:lang w:val="fr-FR"/>
              </w:rPr>
            </w:pPr>
          </w:p>
        </w:tc>
      </w:tr>
      <w:tr w:rsidR="00C26BA2" w:rsidRPr="00337E5F" w14:paraId="14B8502F" w14:textId="77777777" w:rsidTr="00530525">
        <w:trPr>
          <w:cantSplit/>
        </w:trPr>
        <w:tc>
          <w:tcPr>
            <w:tcW w:w="6804" w:type="dxa"/>
            <w:gridSpan w:val="2"/>
          </w:tcPr>
          <w:p w14:paraId="32AC5524" w14:textId="77777777" w:rsidR="00C26BA2" w:rsidRPr="00337E5F" w:rsidRDefault="00C26BA2" w:rsidP="006C62EF">
            <w:pPr>
              <w:spacing w:before="0"/>
              <w:rPr>
                <w:lang w:val="fr-FR"/>
              </w:rPr>
            </w:pPr>
            <w:r w:rsidRPr="00337E5F">
              <w:rPr>
                <w:rFonts w:ascii="Verdana" w:hAnsi="Verdana"/>
                <w:b/>
                <w:sz w:val="20"/>
                <w:lang w:val="fr-FR"/>
              </w:rPr>
              <w:t>SÉANCE PLÉNIÈRE</w:t>
            </w:r>
          </w:p>
        </w:tc>
        <w:tc>
          <w:tcPr>
            <w:tcW w:w="3007" w:type="dxa"/>
          </w:tcPr>
          <w:p w14:paraId="184B1D86" w14:textId="21314F3D" w:rsidR="00C26BA2" w:rsidRPr="00337E5F" w:rsidRDefault="00C26BA2" w:rsidP="006C62EF">
            <w:pPr>
              <w:pStyle w:val="DocNumber"/>
              <w:rPr>
                <w:lang w:val="fr-FR"/>
              </w:rPr>
            </w:pPr>
            <w:r w:rsidRPr="00337E5F">
              <w:rPr>
                <w:lang w:val="fr-FR"/>
              </w:rPr>
              <w:t>Addendum 18 au</w:t>
            </w:r>
            <w:r w:rsidRPr="00337E5F">
              <w:rPr>
                <w:lang w:val="fr-FR"/>
              </w:rPr>
              <w:br/>
              <w:t>Document 40</w:t>
            </w:r>
            <w:r w:rsidR="007B4198" w:rsidRPr="00337E5F">
              <w:rPr>
                <w:lang w:val="fr-FR"/>
              </w:rPr>
              <w:t>-F</w:t>
            </w:r>
          </w:p>
        </w:tc>
      </w:tr>
      <w:tr w:rsidR="001D581B" w:rsidRPr="00337E5F" w14:paraId="5645FEBF" w14:textId="77777777" w:rsidTr="00530525">
        <w:trPr>
          <w:cantSplit/>
        </w:trPr>
        <w:tc>
          <w:tcPr>
            <w:tcW w:w="6804" w:type="dxa"/>
            <w:gridSpan w:val="2"/>
          </w:tcPr>
          <w:p w14:paraId="7DE8DEE2" w14:textId="77777777" w:rsidR="00595780" w:rsidRPr="00337E5F" w:rsidRDefault="00595780" w:rsidP="006C62EF">
            <w:pPr>
              <w:spacing w:before="0"/>
              <w:rPr>
                <w:lang w:val="fr-FR"/>
              </w:rPr>
            </w:pPr>
          </w:p>
        </w:tc>
        <w:tc>
          <w:tcPr>
            <w:tcW w:w="3007" w:type="dxa"/>
          </w:tcPr>
          <w:p w14:paraId="69BB6CB3" w14:textId="77777777" w:rsidR="00595780" w:rsidRPr="00337E5F" w:rsidRDefault="00C26BA2" w:rsidP="006C62EF">
            <w:pPr>
              <w:spacing w:before="0"/>
              <w:rPr>
                <w:lang w:val="fr-FR"/>
              </w:rPr>
            </w:pPr>
            <w:r w:rsidRPr="00337E5F">
              <w:rPr>
                <w:rFonts w:ascii="Verdana" w:hAnsi="Verdana"/>
                <w:b/>
                <w:sz w:val="20"/>
                <w:lang w:val="fr-FR"/>
              </w:rPr>
              <w:t>31 janvier 2022</w:t>
            </w:r>
          </w:p>
        </w:tc>
      </w:tr>
      <w:tr w:rsidR="001D581B" w:rsidRPr="00337E5F" w14:paraId="3D7DB325" w14:textId="77777777" w:rsidTr="00530525">
        <w:trPr>
          <w:cantSplit/>
        </w:trPr>
        <w:tc>
          <w:tcPr>
            <w:tcW w:w="6804" w:type="dxa"/>
            <w:gridSpan w:val="2"/>
          </w:tcPr>
          <w:p w14:paraId="564AB88E" w14:textId="77777777" w:rsidR="00595780" w:rsidRPr="00337E5F" w:rsidRDefault="00595780" w:rsidP="006C62EF">
            <w:pPr>
              <w:spacing w:before="0"/>
              <w:rPr>
                <w:lang w:val="fr-FR"/>
              </w:rPr>
            </w:pPr>
          </w:p>
        </w:tc>
        <w:tc>
          <w:tcPr>
            <w:tcW w:w="3007" w:type="dxa"/>
          </w:tcPr>
          <w:p w14:paraId="0B971141" w14:textId="77777777" w:rsidR="00595780" w:rsidRPr="00337E5F" w:rsidRDefault="00C26BA2" w:rsidP="006C62EF">
            <w:pPr>
              <w:spacing w:before="0"/>
              <w:rPr>
                <w:lang w:val="fr-FR"/>
              </w:rPr>
            </w:pPr>
            <w:r w:rsidRPr="00337E5F">
              <w:rPr>
                <w:rFonts w:ascii="Verdana" w:hAnsi="Verdana"/>
                <w:b/>
                <w:sz w:val="20"/>
                <w:lang w:val="fr-FR"/>
              </w:rPr>
              <w:t>Original: russe</w:t>
            </w:r>
          </w:p>
        </w:tc>
      </w:tr>
      <w:tr w:rsidR="000032AD" w:rsidRPr="00337E5F" w14:paraId="4C9FE335" w14:textId="77777777" w:rsidTr="00530525">
        <w:trPr>
          <w:cantSplit/>
        </w:trPr>
        <w:tc>
          <w:tcPr>
            <w:tcW w:w="9811" w:type="dxa"/>
            <w:gridSpan w:val="3"/>
          </w:tcPr>
          <w:p w14:paraId="1A4E65B0" w14:textId="77777777" w:rsidR="000032AD" w:rsidRPr="00337E5F" w:rsidRDefault="000032AD" w:rsidP="006C62EF">
            <w:pPr>
              <w:spacing w:before="0"/>
              <w:rPr>
                <w:rFonts w:ascii="Verdana" w:hAnsi="Verdana"/>
                <w:b/>
                <w:bCs/>
                <w:sz w:val="20"/>
                <w:lang w:val="fr-FR"/>
              </w:rPr>
            </w:pPr>
          </w:p>
        </w:tc>
      </w:tr>
      <w:tr w:rsidR="00595780" w:rsidRPr="00337E5F" w14:paraId="1B6A072A" w14:textId="77777777" w:rsidTr="00530525">
        <w:trPr>
          <w:cantSplit/>
        </w:trPr>
        <w:tc>
          <w:tcPr>
            <w:tcW w:w="9811" w:type="dxa"/>
            <w:gridSpan w:val="3"/>
          </w:tcPr>
          <w:p w14:paraId="2CDC5307" w14:textId="7EDA0DC9" w:rsidR="00595780" w:rsidRPr="00337E5F" w:rsidRDefault="00C26BA2" w:rsidP="006C62EF">
            <w:pPr>
              <w:pStyle w:val="Source"/>
              <w:rPr>
                <w:lang w:val="fr-FR"/>
              </w:rPr>
            </w:pPr>
            <w:r w:rsidRPr="00337E5F">
              <w:rPr>
                <w:lang w:val="fr-FR"/>
              </w:rPr>
              <w:t xml:space="preserve">États Membres de l'UIT, </w:t>
            </w:r>
            <w:r w:rsidR="00A52D56" w:rsidRPr="00337E5F">
              <w:rPr>
                <w:lang w:val="fr-FR"/>
              </w:rPr>
              <w:t>membres de la Communauté régionale des communications (RCC)</w:t>
            </w:r>
          </w:p>
        </w:tc>
      </w:tr>
      <w:tr w:rsidR="00595780" w:rsidRPr="00337E5F" w14:paraId="4D4413E5" w14:textId="77777777" w:rsidTr="00530525">
        <w:trPr>
          <w:cantSplit/>
        </w:trPr>
        <w:tc>
          <w:tcPr>
            <w:tcW w:w="9811" w:type="dxa"/>
            <w:gridSpan w:val="3"/>
          </w:tcPr>
          <w:p w14:paraId="4DA1A502" w14:textId="516D0463" w:rsidR="00595780" w:rsidRPr="00337E5F" w:rsidRDefault="00EC339D" w:rsidP="006C62EF">
            <w:pPr>
              <w:pStyle w:val="Title1"/>
              <w:rPr>
                <w:lang w:val="fr-FR"/>
              </w:rPr>
            </w:pPr>
            <w:r w:rsidRPr="00337E5F">
              <w:rPr>
                <w:lang w:val="fr-FR"/>
              </w:rPr>
              <w:t>PROJET DE NOUVELLE RÉSOLUTION</w:t>
            </w:r>
            <w:r w:rsidR="007B4198" w:rsidRPr="00337E5F">
              <w:rPr>
                <w:lang w:val="fr-FR"/>
              </w:rPr>
              <w:t xml:space="preserve"> [PCC-1] – </w:t>
            </w:r>
            <w:r w:rsidRPr="00337E5F">
              <w:rPr>
                <w:lang w:val="fr-FR"/>
              </w:rPr>
              <w:t>UTILISATION DE LA NUMÉRATION HEXADÉCIMALE POUR LA DÉFINITION</w:t>
            </w:r>
            <w:r w:rsidR="007B4198" w:rsidRPr="00337E5F">
              <w:rPr>
                <w:lang w:val="fr-FR"/>
              </w:rPr>
              <w:t xml:space="preserve"> </w:t>
            </w:r>
            <w:r w:rsidR="00BC669E" w:rsidRPr="00337E5F">
              <w:rPr>
                <w:color w:val="000000"/>
                <w:lang w:val="fr-FR"/>
              </w:rPr>
              <w:t xml:space="preserve">des </w:t>
            </w:r>
            <w:r w:rsidR="00A52D56" w:rsidRPr="00337E5F">
              <w:rPr>
                <w:color w:val="000000"/>
                <w:lang w:val="fr-FR"/>
              </w:rPr>
              <w:br/>
            </w:r>
            <w:r w:rsidR="00BC669E" w:rsidRPr="00337E5F">
              <w:rPr>
                <w:color w:val="000000"/>
                <w:lang w:val="fr-FR"/>
              </w:rPr>
              <w:t>numéros d'abonné mobile</w:t>
            </w:r>
            <w:r w:rsidR="00BC669E" w:rsidRPr="00337E5F">
              <w:rPr>
                <w:lang w:val="fr-FR"/>
              </w:rPr>
              <w:t xml:space="preserve"> (</w:t>
            </w:r>
            <w:r w:rsidR="007B4198" w:rsidRPr="00337E5F">
              <w:rPr>
                <w:lang w:val="fr-FR"/>
              </w:rPr>
              <w:t>MSISDN</w:t>
            </w:r>
            <w:r w:rsidR="00BC669E" w:rsidRPr="00337E5F">
              <w:rPr>
                <w:lang w:val="fr-FR"/>
              </w:rPr>
              <w:t>)</w:t>
            </w:r>
            <w:r w:rsidR="007B4198" w:rsidRPr="00337E5F">
              <w:rPr>
                <w:lang w:val="fr-FR"/>
              </w:rPr>
              <w:t xml:space="preserve"> </w:t>
            </w:r>
            <w:r w:rsidRPr="00337E5F">
              <w:rPr>
                <w:lang w:val="fr-FR"/>
              </w:rPr>
              <w:t xml:space="preserve">ET DE </w:t>
            </w:r>
            <w:r w:rsidR="001E21C8" w:rsidRPr="00337E5F">
              <w:rPr>
                <w:color w:val="000000"/>
                <w:lang w:val="fr-FR"/>
              </w:rPr>
              <w:t>l'identité internationale</w:t>
            </w:r>
            <w:r w:rsidR="001E21C8" w:rsidRPr="00337E5F" w:rsidDel="001E21C8">
              <w:rPr>
                <w:lang w:val="fr-FR"/>
              </w:rPr>
              <w:t xml:space="preserve"> </w:t>
            </w:r>
            <w:r w:rsidR="00A1464C" w:rsidRPr="00337E5F">
              <w:rPr>
                <w:color w:val="000000"/>
                <w:lang w:val="fr-FR"/>
              </w:rPr>
              <w:t>d'abonnement mobile</w:t>
            </w:r>
            <w:r w:rsidR="00A1464C" w:rsidRPr="00337E5F">
              <w:rPr>
                <w:lang w:val="fr-FR"/>
              </w:rPr>
              <w:t xml:space="preserve"> (</w:t>
            </w:r>
            <w:r w:rsidR="007B4198" w:rsidRPr="00337E5F">
              <w:rPr>
                <w:lang w:val="fr-FR"/>
              </w:rPr>
              <w:t>IMSI</w:t>
            </w:r>
            <w:r w:rsidR="00A1464C" w:rsidRPr="00337E5F">
              <w:rPr>
                <w:lang w:val="fr-FR"/>
              </w:rPr>
              <w:t>)</w:t>
            </w:r>
          </w:p>
        </w:tc>
      </w:tr>
      <w:tr w:rsidR="00595780" w:rsidRPr="00337E5F" w14:paraId="1465D615" w14:textId="77777777" w:rsidTr="00530525">
        <w:trPr>
          <w:cantSplit/>
        </w:trPr>
        <w:tc>
          <w:tcPr>
            <w:tcW w:w="9811" w:type="dxa"/>
            <w:gridSpan w:val="3"/>
          </w:tcPr>
          <w:p w14:paraId="47BC0DAF" w14:textId="77777777" w:rsidR="00595780" w:rsidRPr="00337E5F" w:rsidRDefault="00595780" w:rsidP="006C62EF">
            <w:pPr>
              <w:pStyle w:val="Title2"/>
              <w:rPr>
                <w:lang w:val="fr-FR"/>
              </w:rPr>
            </w:pPr>
          </w:p>
        </w:tc>
      </w:tr>
      <w:tr w:rsidR="00C26BA2" w:rsidRPr="00337E5F" w14:paraId="283DA9FF" w14:textId="77777777" w:rsidTr="00D300B0">
        <w:trPr>
          <w:cantSplit/>
          <w:trHeight w:hRule="exact" w:val="120"/>
        </w:trPr>
        <w:tc>
          <w:tcPr>
            <w:tcW w:w="9811" w:type="dxa"/>
            <w:gridSpan w:val="3"/>
          </w:tcPr>
          <w:p w14:paraId="21D29F80" w14:textId="77777777" w:rsidR="00C26BA2" w:rsidRPr="00337E5F" w:rsidRDefault="00C26BA2" w:rsidP="006C62EF">
            <w:pPr>
              <w:pStyle w:val="Agendaitem"/>
              <w:rPr>
                <w:lang w:val="fr-FR"/>
              </w:rPr>
            </w:pPr>
          </w:p>
        </w:tc>
      </w:tr>
      <w:tr w:rsidR="00E11197" w:rsidRPr="00337E5F" w14:paraId="1060F286" w14:textId="77777777" w:rsidTr="00081194">
        <w:trPr>
          <w:cantSplit/>
        </w:trPr>
        <w:tc>
          <w:tcPr>
            <w:tcW w:w="1912" w:type="dxa"/>
          </w:tcPr>
          <w:p w14:paraId="45FB5DD6" w14:textId="77777777" w:rsidR="00E11197" w:rsidRPr="00337E5F" w:rsidRDefault="00E11197" w:rsidP="006C62EF">
            <w:pPr>
              <w:rPr>
                <w:lang w:val="fr-FR"/>
              </w:rPr>
            </w:pPr>
            <w:r w:rsidRPr="00337E5F">
              <w:rPr>
                <w:b/>
                <w:bCs/>
                <w:lang w:val="fr-FR"/>
              </w:rPr>
              <w:t>Résumé:</w:t>
            </w:r>
          </w:p>
        </w:tc>
        <w:tc>
          <w:tcPr>
            <w:tcW w:w="7899" w:type="dxa"/>
            <w:gridSpan w:val="2"/>
          </w:tcPr>
          <w:p w14:paraId="574BC211" w14:textId="1D59D017" w:rsidR="00E11197" w:rsidRPr="00337E5F" w:rsidRDefault="00383366" w:rsidP="00CA7DA6">
            <w:pPr>
              <w:rPr>
                <w:lang w:val="fr-FR"/>
              </w:rPr>
            </w:pPr>
            <w:bookmarkStart w:id="0" w:name="_Hlk95056893"/>
            <w:r w:rsidRPr="00337E5F">
              <w:rPr>
                <w:lang w:val="fr-FR"/>
              </w:rPr>
              <w:t>On trouvera ci-après une proposition de nouvelle Résolution de l'AMNT sur l'utilisation de la numération hexadécimale pour la définition</w:t>
            </w:r>
            <w:r w:rsidR="00A1464C" w:rsidRPr="00337E5F">
              <w:rPr>
                <w:lang w:val="fr-FR"/>
              </w:rPr>
              <w:t xml:space="preserve"> </w:t>
            </w:r>
            <w:r w:rsidR="00A1464C" w:rsidRPr="00337E5F">
              <w:rPr>
                <w:color w:val="000000"/>
                <w:lang w:val="fr-FR"/>
              </w:rPr>
              <w:t>des numéros d'abonné mobile</w:t>
            </w:r>
            <w:r w:rsidR="00A1464C" w:rsidRPr="00337E5F">
              <w:rPr>
                <w:lang w:val="fr-FR"/>
              </w:rPr>
              <w:t xml:space="preserve"> (</w:t>
            </w:r>
            <w:r w:rsidRPr="00337E5F">
              <w:rPr>
                <w:lang w:val="fr-FR"/>
              </w:rPr>
              <w:t>MSISDN</w:t>
            </w:r>
            <w:r w:rsidR="00A1464C" w:rsidRPr="00337E5F">
              <w:rPr>
                <w:lang w:val="fr-FR"/>
              </w:rPr>
              <w:t>)</w:t>
            </w:r>
            <w:r w:rsidRPr="00337E5F">
              <w:rPr>
                <w:lang w:val="fr-FR"/>
              </w:rPr>
              <w:t xml:space="preserve"> et de </w:t>
            </w:r>
            <w:r w:rsidR="001E21C8" w:rsidRPr="00337E5F">
              <w:rPr>
                <w:color w:val="000000"/>
                <w:lang w:val="fr-FR"/>
              </w:rPr>
              <w:t>l'identité internationale</w:t>
            </w:r>
            <w:r w:rsidR="001E21C8" w:rsidRPr="00337E5F" w:rsidDel="001E21C8">
              <w:rPr>
                <w:lang w:val="fr-FR"/>
              </w:rPr>
              <w:t xml:space="preserve"> </w:t>
            </w:r>
            <w:r w:rsidR="00A1464C" w:rsidRPr="00337E5F">
              <w:rPr>
                <w:color w:val="000000"/>
                <w:lang w:val="fr-FR"/>
              </w:rPr>
              <w:t>d'abonn</w:t>
            </w:r>
            <w:r w:rsidR="00237457" w:rsidRPr="00337E5F">
              <w:rPr>
                <w:color w:val="000000"/>
                <w:lang w:val="fr-FR"/>
              </w:rPr>
              <w:t xml:space="preserve">é </w:t>
            </w:r>
            <w:r w:rsidR="00A1464C" w:rsidRPr="00337E5F">
              <w:rPr>
                <w:color w:val="000000"/>
                <w:lang w:val="fr-FR"/>
              </w:rPr>
              <w:t>mobile</w:t>
            </w:r>
            <w:bookmarkEnd w:id="0"/>
            <w:r w:rsidR="00A1464C" w:rsidRPr="00337E5F">
              <w:rPr>
                <w:lang w:val="fr-FR"/>
              </w:rPr>
              <w:t xml:space="preserve"> (IMSI)</w:t>
            </w:r>
          </w:p>
        </w:tc>
      </w:tr>
    </w:tbl>
    <w:p w14:paraId="3B378774" w14:textId="7D113564" w:rsidR="002B60D4" w:rsidRPr="00337E5F" w:rsidRDefault="002B60D4" w:rsidP="006C62EF">
      <w:pPr>
        <w:pStyle w:val="Headingb"/>
        <w:rPr>
          <w:lang w:val="fr-FR"/>
        </w:rPr>
      </w:pPr>
      <w:r w:rsidRPr="00337E5F">
        <w:rPr>
          <w:lang w:val="fr-FR"/>
        </w:rPr>
        <w:t>Propos</w:t>
      </w:r>
      <w:r w:rsidR="00104CB3" w:rsidRPr="00337E5F">
        <w:rPr>
          <w:lang w:val="fr-FR"/>
        </w:rPr>
        <w:t>ition</w:t>
      </w:r>
    </w:p>
    <w:p w14:paraId="68C668EA" w14:textId="48DBB04A" w:rsidR="002B60D4" w:rsidRPr="00337E5F" w:rsidRDefault="00383366" w:rsidP="006C62EF">
      <w:pPr>
        <w:rPr>
          <w:color w:val="000000" w:themeColor="text1"/>
          <w:szCs w:val="22"/>
          <w:lang w:val="fr-FR"/>
        </w:rPr>
      </w:pPr>
      <w:r w:rsidRPr="00337E5F">
        <w:rPr>
          <w:color w:val="000000" w:themeColor="text1"/>
          <w:szCs w:val="22"/>
          <w:lang w:val="fr-FR"/>
        </w:rPr>
        <w:t>On trouvera ci-après une proposition de nouvelle Résolution de l'AMNT sur l'utilisation de la numération hexadécimale pour la définition d</w:t>
      </w:r>
      <w:r w:rsidR="00A1464C" w:rsidRPr="00337E5F">
        <w:rPr>
          <w:color w:val="000000" w:themeColor="text1"/>
          <w:szCs w:val="22"/>
          <w:lang w:val="fr-FR"/>
        </w:rPr>
        <w:t xml:space="preserve">es </w:t>
      </w:r>
      <w:r w:rsidRPr="00337E5F">
        <w:rPr>
          <w:color w:val="000000" w:themeColor="text1"/>
          <w:szCs w:val="22"/>
          <w:lang w:val="fr-FR"/>
        </w:rPr>
        <w:t>numéro</w:t>
      </w:r>
      <w:r w:rsidR="00A1464C" w:rsidRPr="00337E5F">
        <w:rPr>
          <w:color w:val="000000" w:themeColor="text1"/>
          <w:szCs w:val="22"/>
          <w:lang w:val="fr-FR"/>
        </w:rPr>
        <w:t>s</w:t>
      </w:r>
      <w:r w:rsidRPr="00337E5F">
        <w:rPr>
          <w:color w:val="000000" w:themeColor="text1"/>
          <w:szCs w:val="22"/>
          <w:lang w:val="fr-FR"/>
        </w:rPr>
        <w:t xml:space="preserve"> MSISDN et de</w:t>
      </w:r>
      <w:r w:rsidR="001E21C8" w:rsidRPr="00337E5F">
        <w:rPr>
          <w:color w:val="000000" w:themeColor="text1"/>
          <w:szCs w:val="22"/>
          <w:lang w:val="fr-FR"/>
        </w:rPr>
        <w:t xml:space="preserve"> </w:t>
      </w:r>
      <w:r w:rsidR="001E21C8" w:rsidRPr="00337E5F">
        <w:rPr>
          <w:color w:val="000000"/>
          <w:lang w:val="fr-FR"/>
        </w:rPr>
        <w:t>l'identité</w:t>
      </w:r>
      <w:r w:rsidR="001E21C8" w:rsidRPr="00337E5F">
        <w:rPr>
          <w:color w:val="000000" w:themeColor="text1"/>
          <w:szCs w:val="22"/>
          <w:lang w:val="fr-FR"/>
        </w:rPr>
        <w:t xml:space="preserve"> </w:t>
      </w:r>
      <w:r w:rsidRPr="00337E5F">
        <w:rPr>
          <w:color w:val="000000" w:themeColor="text1"/>
          <w:szCs w:val="22"/>
          <w:lang w:val="fr-FR"/>
        </w:rPr>
        <w:t>IMSI</w:t>
      </w:r>
      <w:r w:rsidR="002B60D4" w:rsidRPr="00337E5F">
        <w:rPr>
          <w:color w:val="000000" w:themeColor="text1"/>
          <w:szCs w:val="22"/>
          <w:lang w:val="fr-FR"/>
        </w:rPr>
        <w:t>.</w:t>
      </w:r>
    </w:p>
    <w:p w14:paraId="4E658EC9" w14:textId="67E8CB26" w:rsidR="00F776DF" w:rsidRPr="00337E5F" w:rsidRDefault="00F776DF" w:rsidP="006C62EF">
      <w:pPr>
        <w:rPr>
          <w:lang w:val="fr-FR"/>
        </w:rPr>
      </w:pPr>
      <w:r w:rsidRPr="00337E5F">
        <w:rPr>
          <w:lang w:val="fr-FR"/>
        </w:rPr>
        <w:br w:type="page"/>
      </w:r>
    </w:p>
    <w:p w14:paraId="5700BF01" w14:textId="01913162" w:rsidR="005D27FE" w:rsidRPr="00337E5F" w:rsidRDefault="003779A8" w:rsidP="006C62EF">
      <w:pPr>
        <w:pStyle w:val="Proposal"/>
        <w:tabs>
          <w:tab w:val="center" w:pos="4819"/>
        </w:tabs>
        <w:rPr>
          <w:lang w:val="fr-FR"/>
        </w:rPr>
      </w:pPr>
      <w:r w:rsidRPr="00337E5F">
        <w:rPr>
          <w:lang w:val="fr-FR"/>
        </w:rPr>
        <w:lastRenderedPageBreak/>
        <w:t>ADD</w:t>
      </w:r>
      <w:r w:rsidRPr="00337E5F">
        <w:rPr>
          <w:lang w:val="fr-FR"/>
        </w:rPr>
        <w:tab/>
        <w:t>RCC/40A18/1</w:t>
      </w:r>
    </w:p>
    <w:p w14:paraId="6F77F25F" w14:textId="6FFC7A7A" w:rsidR="002B60D4" w:rsidRPr="00337E5F" w:rsidRDefault="003779A8" w:rsidP="006C62EF">
      <w:pPr>
        <w:pStyle w:val="ResNo"/>
        <w:rPr>
          <w:lang w:val="fr-FR"/>
        </w:rPr>
      </w:pPr>
      <w:r w:rsidRPr="00337E5F">
        <w:rPr>
          <w:lang w:val="fr-FR"/>
        </w:rPr>
        <w:t>PROJET DE NOUVELLE RÉSOLUTION</w:t>
      </w:r>
      <w:r w:rsidR="002B60D4" w:rsidRPr="00337E5F">
        <w:rPr>
          <w:lang w:val="fr-FR"/>
        </w:rPr>
        <w:t xml:space="preserve"> [</w:t>
      </w:r>
      <w:r w:rsidR="00337E5F" w:rsidRPr="00337E5F">
        <w:rPr>
          <w:lang w:val="fr-FR"/>
        </w:rPr>
        <w:t>R</w:t>
      </w:r>
      <w:r w:rsidR="002B60D4" w:rsidRPr="00337E5F">
        <w:rPr>
          <w:lang w:val="fr-FR"/>
        </w:rPr>
        <w:t>CC-1]</w:t>
      </w:r>
    </w:p>
    <w:p w14:paraId="47A87690" w14:textId="45BEC8C6" w:rsidR="002B60D4" w:rsidRPr="00337E5F" w:rsidRDefault="00C66FFB" w:rsidP="006C62EF">
      <w:pPr>
        <w:pStyle w:val="Restitle"/>
        <w:rPr>
          <w:lang w:val="fr-FR"/>
        </w:rPr>
      </w:pPr>
      <w:r w:rsidRPr="00337E5F">
        <w:rPr>
          <w:lang w:val="fr-FR"/>
        </w:rPr>
        <w:t>Utilisation de la num</w:t>
      </w:r>
      <w:r w:rsidRPr="00337E5F">
        <w:rPr>
          <w:lang w:val="fr-FR"/>
        </w:rPr>
        <w:t>é</w:t>
      </w:r>
      <w:r w:rsidRPr="00337E5F">
        <w:rPr>
          <w:lang w:val="fr-FR"/>
        </w:rPr>
        <w:t>ration hexad</w:t>
      </w:r>
      <w:r w:rsidRPr="00337E5F">
        <w:rPr>
          <w:lang w:val="fr-FR"/>
        </w:rPr>
        <w:t>é</w:t>
      </w:r>
      <w:r w:rsidRPr="00337E5F">
        <w:rPr>
          <w:lang w:val="fr-FR"/>
        </w:rPr>
        <w:t>cimale pour la d</w:t>
      </w:r>
      <w:r w:rsidRPr="00337E5F">
        <w:rPr>
          <w:lang w:val="fr-FR"/>
        </w:rPr>
        <w:t>é</w:t>
      </w:r>
      <w:r w:rsidRPr="00337E5F">
        <w:rPr>
          <w:lang w:val="fr-FR"/>
        </w:rPr>
        <w:t xml:space="preserve">finition </w:t>
      </w:r>
      <w:r w:rsidR="00A1464C" w:rsidRPr="00337E5F">
        <w:rPr>
          <w:color w:val="000000"/>
          <w:lang w:val="fr-FR"/>
        </w:rPr>
        <w:t>des num</w:t>
      </w:r>
      <w:r w:rsidR="00A1464C" w:rsidRPr="00337E5F">
        <w:rPr>
          <w:color w:val="000000"/>
          <w:lang w:val="fr-FR"/>
        </w:rPr>
        <w:t>é</w:t>
      </w:r>
      <w:r w:rsidR="00A1464C" w:rsidRPr="00337E5F">
        <w:rPr>
          <w:color w:val="000000"/>
          <w:lang w:val="fr-FR"/>
        </w:rPr>
        <w:t>ros d'abonn</w:t>
      </w:r>
      <w:r w:rsidR="00A1464C" w:rsidRPr="00337E5F">
        <w:rPr>
          <w:color w:val="000000"/>
          <w:lang w:val="fr-FR"/>
        </w:rPr>
        <w:t>é</w:t>
      </w:r>
      <w:r w:rsidR="00A1464C" w:rsidRPr="00337E5F">
        <w:rPr>
          <w:color w:val="000000"/>
          <w:lang w:val="fr-FR"/>
        </w:rPr>
        <w:t xml:space="preserve"> mobile</w:t>
      </w:r>
      <w:r w:rsidR="00A1464C" w:rsidRPr="00337E5F">
        <w:rPr>
          <w:lang w:val="fr-FR"/>
        </w:rPr>
        <w:t xml:space="preserve"> </w:t>
      </w:r>
      <w:r w:rsidR="00A1464C" w:rsidRPr="00337E5F">
        <w:rPr>
          <w:color w:val="000000" w:themeColor="text1"/>
          <w:szCs w:val="22"/>
          <w:lang w:val="fr-FR"/>
        </w:rPr>
        <w:t>et de</w:t>
      </w:r>
      <w:r w:rsidR="001E21C8" w:rsidRPr="00337E5F">
        <w:rPr>
          <w:color w:val="000000"/>
          <w:lang w:val="fr-FR"/>
        </w:rPr>
        <w:t xml:space="preserve"> l'identit</w:t>
      </w:r>
      <w:r w:rsidR="001E21C8" w:rsidRPr="00337E5F">
        <w:rPr>
          <w:color w:val="000000"/>
          <w:lang w:val="fr-FR"/>
        </w:rPr>
        <w:t>é</w:t>
      </w:r>
      <w:r w:rsidR="001E21C8" w:rsidRPr="00337E5F">
        <w:rPr>
          <w:color w:val="000000"/>
          <w:lang w:val="fr-FR"/>
        </w:rPr>
        <w:t xml:space="preserve"> </w:t>
      </w:r>
      <w:r w:rsidR="00A1464C" w:rsidRPr="00337E5F">
        <w:rPr>
          <w:color w:val="000000"/>
          <w:lang w:val="fr-FR"/>
        </w:rPr>
        <w:t>international</w:t>
      </w:r>
      <w:r w:rsidR="001E21C8" w:rsidRPr="00337E5F">
        <w:rPr>
          <w:color w:val="000000"/>
          <w:lang w:val="fr-FR"/>
        </w:rPr>
        <w:t>e</w:t>
      </w:r>
      <w:r w:rsidR="00ED0308" w:rsidRPr="00337E5F">
        <w:rPr>
          <w:color w:val="000000"/>
          <w:lang w:val="fr-FR"/>
        </w:rPr>
        <w:t xml:space="preserve"> </w:t>
      </w:r>
      <w:r w:rsidR="00A1464C" w:rsidRPr="00337E5F">
        <w:rPr>
          <w:color w:val="000000"/>
          <w:lang w:val="fr-FR"/>
        </w:rPr>
        <w:t>d'abonn</w:t>
      </w:r>
      <w:r w:rsidR="00ED0308" w:rsidRPr="00337E5F">
        <w:rPr>
          <w:color w:val="000000"/>
          <w:lang w:val="fr-FR"/>
        </w:rPr>
        <w:t>é</w:t>
      </w:r>
      <w:r w:rsidR="00ED0308" w:rsidRPr="00337E5F">
        <w:rPr>
          <w:color w:val="000000"/>
          <w:lang w:val="fr-FR"/>
        </w:rPr>
        <w:t xml:space="preserve"> </w:t>
      </w:r>
      <w:r w:rsidR="00A1464C" w:rsidRPr="00337E5F">
        <w:rPr>
          <w:color w:val="000000"/>
          <w:lang w:val="fr-FR"/>
        </w:rPr>
        <w:t>mobile</w:t>
      </w:r>
    </w:p>
    <w:p w14:paraId="24D94A81" w14:textId="1FAD351C" w:rsidR="002B60D4" w:rsidRPr="00337E5F" w:rsidRDefault="002B60D4" w:rsidP="006C62EF">
      <w:pPr>
        <w:pStyle w:val="Resref"/>
      </w:pPr>
      <w:r w:rsidRPr="00337E5F">
        <w:t>(Genève, 2022)</w:t>
      </w:r>
    </w:p>
    <w:p w14:paraId="3F0C08AF" w14:textId="44407B68" w:rsidR="002B60D4" w:rsidRPr="00337E5F" w:rsidRDefault="002B60D4" w:rsidP="006C62EF">
      <w:pPr>
        <w:pStyle w:val="Normalaftertitle"/>
        <w:rPr>
          <w:lang w:val="fr-FR"/>
        </w:rPr>
      </w:pPr>
      <w:r w:rsidRPr="00337E5F">
        <w:rPr>
          <w:lang w:val="fr-FR"/>
        </w:rPr>
        <w:t>L'Assemblée mondiale de normalisation de la télécommunication (Genève, 2022),</w:t>
      </w:r>
    </w:p>
    <w:p w14:paraId="4BB608E6" w14:textId="55C974E6" w:rsidR="002B60D4" w:rsidRPr="00337E5F" w:rsidRDefault="002B60D4" w:rsidP="006C62EF">
      <w:pPr>
        <w:pStyle w:val="Call"/>
        <w:rPr>
          <w:lang w:val="fr-FR"/>
        </w:rPr>
      </w:pPr>
      <w:r w:rsidRPr="00337E5F">
        <w:rPr>
          <w:lang w:val="fr-FR"/>
        </w:rPr>
        <w:t>cons</w:t>
      </w:r>
      <w:r w:rsidR="004E6528" w:rsidRPr="00337E5F">
        <w:rPr>
          <w:lang w:val="fr-FR"/>
        </w:rPr>
        <w:t>idérant</w:t>
      </w:r>
    </w:p>
    <w:p w14:paraId="39EDD8FF" w14:textId="75E0A249" w:rsidR="005D27FE" w:rsidRPr="00337E5F" w:rsidRDefault="002B60D4" w:rsidP="00130D47">
      <w:pPr>
        <w:rPr>
          <w:lang w:val="fr-FR"/>
        </w:rPr>
      </w:pPr>
      <w:r w:rsidRPr="00337E5F">
        <w:rPr>
          <w:i/>
          <w:iCs/>
          <w:lang w:val="fr-FR"/>
        </w:rPr>
        <w:t>а)</w:t>
      </w:r>
      <w:r w:rsidRPr="00337E5F">
        <w:rPr>
          <w:lang w:val="fr-FR"/>
        </w:rPr>
        <w:tab/>
      </w:r>
      <w:r w:rsidR="004E6528" w:rsidRPr="00337E5F">
        <w:rPr>
          <w:lang w:val="fr-FR"/>
        </w:rPr>
        <w:t>que</w:t>
      </w:r>
      <w:r w:rsidR="00A1464C" w:rsidRPr="00337E5F">
        <w:rPr>
          <w:color w:val="000000"/>
          <w:lang w:val="fr-FR"/>
        </w:rPr>
        <w:t xml:space="preserve"> conformément à</w:t>
      </w:r>
      <w:r w:rsidR="006C62EF" w:rsidRPr="00337E5F">
        <w:rPr>
          <w:color w:val="000000"/>
          <w:lang w:val="fr-FR"/>
        </w:rPr>
        <w:t xml:space="preserve"> </w:t>
      </w:r>
      <w:r w:rsidR="00A1464C" w:rsidRPr="00337E5F">
        <w:rPr>
          <w:lang w:val="fr-FR"/>
        </w:rPr>
        <w:t xml:space="preserve">l'article 1 de sa Constitution, </w:t>
      </w:r>
      <w:r w:rsidR="004E6528" w:rsidRPr="00337E5F">
        <w:rPr>
          <w:lang w:val="fr-FR"/>
        </w:rPr>
        <w:t xml:space="preserve">l'UIT a </w:t>
      </w:r>
      <w:r w:rsidR="00A1464C" w:rsidRPr="00337E5F">
        <w:rPr>
          <w:color w:val="000000"/>
          <w:lang w:val="fr-FR"/>
        </w:rPr>
        <w:t>notamment</w:t>
      </w:r>
      <w:r w:rsidR="006C62EF" w:rsidRPr="00337E5F">
        <w:rPr>
          <w:color w:val="000000"/>
          <w:lang w:val="fr-FR"/>
        </w:rPr>
        <w:t xml:space="preserve"> </w:t>
      </w:r>
      <w:r w:rsidR="004E6528" w:rsidRPr="00337E5F">
        <w:rPr>
          <w:lang w:val="fr-FR"/>
        </w:rPr>
        <w:t>pour objet</w:t>
      </w:r>
      <w:r w:rsidR="006C62EF" w:rsidRPr="00337E5F">
        <w:rPr>
          <w:lang w:val="fr-FR"/>
        </w:rPr>
        <w:t xml:space="preserve"> </w:t>
      </w:r>
      <w:r w:rsidR="004E6528" w:rsidRPr="00337E5F">
        <w:rPr>
          <w:lang w:val="fr-FR"/>
        </w:rPr>
        <w:t>"de maintenir et d'étendre la coopération internationale entre tous ses États Membres pour l'amélioration et l'emploi rationnel des télécommunications de toutes sortes";</w:t>
      </w:r>
    </w:p>
    <w:p w14:paraId="7E2A02B1" w14:textId="09B3B6F8" w:rsidR="004E6528" w:rsidRPr="00337E5F" w:rsidRDefault="004E6528" w:rsidP="00130D47">
      <w:pPr>
        <w:rPr>
          <w:i/>
          <w:iCs/>
          <w:lang w:val="fr-FR"/>
        </w:rPr>
      </w:pPr>
      <w:r w:rsidRPr="00337E5F">
        <w:rPr>
          <w:i/>
          <w:iCs/>
          <w:lang w:val="fr-FR"/>
        </w:rPr>
        <w:t>b)</w:t>
      </w:r>
      <w:r w:rsidRPr="00337E5F">
        <w:rPr>
          <w:i/>
          <w:iCs/>
          <w:lang w:val="fr-FR"/>
        </w:rPr>
        <w:tab/>
      </w:r>
      <w:r w:rsidRPr="00337E5F">
        <w:rPr>
          <w:lang w:val="fr-FR"/>
        </w:rPr>
        <w:t>que les tâches accomplies par le Secteur de la normalisation des télécommunications de l'UIT (UIT</w:t>
      </w:r>
      <w:r w:rsidRPr="00337E5F">
        <w:rPr>
          <w:lang w:val="fr-FR"/>
        </w:rPr>
        <w:noBreakHyphen/>
        <w:t>T) concernent les Recommandations, l'évaluation de la conformité et les questions ayant des incidences politiques ou réglementaires;</w:t>
      </w:r>
    </w:p>
    <w:p w14:paraId="22DB97D2" w14:textId="66DE3A24" w:rsidR="004E6528" w:rsidRPr="00337E5F" w:rsidRDefault="004E6528" w:rsidP="006C62EF">
      <w:pPr>
        <w:rPr>
          <w:lang w:val="fr-FR"/>
        </w:rPr>
      </w:pPr>
      <w:r w:rsidRPr="00337E5F">
        <w:rPr>
          <w:i/>
          <w:iCs/>
          <w:lang w:val="fr-FR"/>
        </w:rPr>
        <w:t>c)</w:t>
      </w:r>
      <w:r w:rsidRPr="00337E5F">
        <w:rPr>
          <w:lang w:val="fr-FR"/>
        </w:rPr>
        <w:tab/>
      </w:r>
      <w:r w:rsidR="00701DE1" w:rsidRPr="00337E5F">
        <w:rPr>
          <w:lang w:val="fr-FR"/>
        </w:rPr>
        <w:t xml:space="preserve">que le plan de numérotage des télécommunications publiques internationales </w:t>
      </w:r>
      <w:r w:rsidR="00934A32" w:rsidRPr="00337E5F">
        <w:rPr>
          <w:lang w:val="fr-FR"/>
        </w:rPr>
        <w:t>constitue</w:t>
      </w:r>
      <w:r w:rsidR="00701DE1" w:rsidRPr="00337E5F">
        <w:rPr>
          <w:lang w:val="fr-FR"/>
        </w:rPr>
        <w:t xml:space="preserve"> une re</w:t>
      </w:r>
      <w:r w:rsidR="009D2946" w:rsidRPr="00337E5F">
        <w:rPr>
          <w:lang w:val="fr-FR"/>
        </w:rPr>
        <w:t>s</w:t>
      </w:r>
      <w:r w:rsidR="00701DE1" w:rsidRPr="00337E5F">
        <w:rPr>
          <w:lang w:val="fr-FR"/>
        </w:rPr>
        <w:t xml:space="preserve">source </w:t>
      </w:r>
      <w:r w:rsidR="00934A32" w:rsidRPr="00337E5F">
        <w:rPr>
          <w:lang w:val="fr-FR"/>
        </w:rPr>
        <w:t>fondamentale</w:t>
      </w:r>
      <w:r w:rsidR="006C62EF" w:rsidRPr="00337E5F">
        <w:rPr>
          <w:lang w:val="fr-FR"/>
        </w:rPr>
        <w:t xml:space="preserve"> </w:t>
      </w:r>
      <w:r w:rsidR="00934A32" w:rsidRPr="00337E5F">
        <w:rPr>
          <w:lang w:val="fr-FR"/>
        </w:rPr>
        <w:t>et qu'il est très important</w:t>
      </w:r>
      <w:r w:rsidR="00A1464C" w:rsidRPr="00337E5F">
        <w:rPr>
          <w:lang w:val="fr-FR"/>
        </w:rPr>
        <w:t>,</w:t>
      </w:r>
      <w:r w:rsidR="006C62EF" w:rsidRPr="00337E5F">
        <w:rPr>
          <w:lang w:val="fr-FR"/>
        </w:rPr>
        <w:t xml:space="preserve"> </w:t>
      </w:r>
      <w:r w:rsidR="00D1177A" w:rsidRPr="00337E5F">
        <w:rPr>
          <w:lang w:val="fr-FR"/>
        </w:rPr>
        <w:t>pour le développement futur des réseaux de télécommunication/des technologies de l'information et de la communication (TIC) et pour l'économie mondiale</w:t>
      </w:r>
      <w:r w:rsidR="009E461C" w:rsidRPr="00337E5F">
        <w:rPr>
          <w:lang w:val="fr-FR"/>
        </w:rPr>
        <w:t>,</w:t>
      </w:r>
      <w:r w:rsidR="00D1177A" w:rsidRPr="00337E5F">
        <w:rPr>
          <w:lang w:val="fr-FR"/>
        </w:rPr>
        <w:t xml:space="preserve"> </w:t>
      </w:r>
      <w:r w:rsidR="00934A32" w:rsidRPr="00337E5F">
        <w:rPr>
          <w:lang w:val="fr-FR"/>
        </w:rPr>
        <w:t xml:space="preserve">de trouver </w:t>
      </w:r>
      <w:r w:rsidR="00865170" w:rsidRPr="00337E5F">
        <w:rPr>
          <w:lang w:val="fr-FR"/>
        </w:rPr>
        <w:t xml:space="preserve">rapidement </w:t>
      </w:r>
      <w:r w:rsidR="00934A32" w:rsidRPr="00337E5F">
        <w:rPr>
          <w:lang w:val="fr-FR"/>
        </w:rPr>
        <w:t>une</w:t>
      </w:r>
      <w:r w:rsidR="00701DE1" w:rsidRPr="00337E5F">
        <w:rPr>
          <w:lang w:val="fr-FR"/>
        </w:rPr>
        <w:t xml:space="preserve"> solution juridique aux problèmes relatifs à l'élaboration du plan de numérotage;</w:t>
      </w:r>
    </w:p>
    <w:p w14:paraId="5D5C1D51" w14:textId="760D3C80" w:rsidR="004E6528" w:rsidRPr="00337E5F" w:rsidRDefault="004E6528" w:rsidP="006C62EF">
      <w:pPr>
        <w:rPr>
          <w:lang w:val="fr-FR"/>
        </w:rPr>
      </w:pPr>
      <w:r w:rsidRPr="00337E5F">
        <w:rPr>
          <w:i/>
          <w:iCs/>
          <w:lang w:val="fr-FR"/>
        </w:rPr>
        <w:t>d)</w:t>
      </w:r>
      <w:r w:rsidRPr="00337E5F">
        <w:rPr>
          <w:lang w:val="fr-FR"/>
        </w:rPr>
        <w:tab/>
      </w:r>
      <w:r w:rsidR="00934A32" w:rsidRPr="00337E5F">
        <w:rPr>
          <w:lang w:val="fr-FR"/>
        </w:rPr>
        <w:t>que, conformément au plan de numérotage des télécommunications publiques internationales convenu par les États Membres de l'UIT (Recommandation UIT-T E.164), les</w:t>
      </w:r>
      <w:r w:rsidR="006C62EF" w:rsidRPr="00337E5F">
        <w:rPr>
          <w:lang w:val="fr-FR"/>
        </w:rPr>
        <w:t xml:space="preserve"> </w:t>
      </w:r>
      <w:r w:rsidR="009E461C" w:rsidRPr="00337E5F">
        <w:rPr>
          <w:lang w:val="fr-FR"/>
        </w:rPr>
        <w:t>indicatifs appropriés</w:t>
      </w:r>
      <w:r w:rsidR="006C62EF" w:rsidRPr="00337E5F">
        <w:rPr>
          <w:lang w:val="fr-FR"/>
        </w:rPr>
        <w:t xml:space="preserve"> </w:t>
      </w:r>
      <w:r w:rsidR="00934A32" w:rsidRPr="00337E5F">
        <w:rPr>
          <w:lang w:val="fr-FR"/>
        </w:rPr>
        <w:t>sont attribués aux pays et aux services correspondants;</w:t>
      </w:r>
    </w:p>
    <w:p w14:paraId="31DD97F3" w14:textId="31F6D8A3" w:rsidR="004E6528" w:rsidRPr="00337E5F" w:rsidRDefault="004E6528" w:rsidP="006C62EF">
      <w:pPr>
        <w:rPr>
          <w:lang w:val="fr-FR"/>
        </w:rPr>
      </w:pPr>
      <w:bookmarkStart w:id="1" w:name="_Hlk95142479"/>
      <w:r w:rsidRPr="00337E5F">
        <w:rPr>
          <w:i/>
          <w:iCs/>
          <w:lang w:val="fr-FR"/>
        </w:rPr>
        <w:t>e)</w:t>
      </w:r>
      <w:r w:rsidRPr="00337E5F">
        <w:rPr>
          <w:lang w:val="fr-FR"/>
        </w:rPr>
        <w:tab/>
      </w:r>
      <w:r w:rsidR="007644E7" w:rsidRPr="00337E5F">
        <w:rPr>
          <w:lang w:val="fr-FR"/>
        </w:rPr>
        <w:t xml:space="preserve">qu'il est néanmoins nécessaire, </w:t>
      </w:r>
      <w:r w:rsidR="009E461C" w:rsidRPr="00337E5F">
        <w:rPr>
          <w:lang w:val="fr-FR"/>
        </w:rPr>
        <w:t>compte tenu de l</w:t>
      </w:r>
      <w:r w:rsidR="00130D47" w:rsidRPr="00337E5F">
        <w:rPr>
          <w:lang w:val="fr-FR"/>
        </w:rPr>
        <w:t>'</w:t>
      </w:r>
      <w:r w:rsidR="009E461C" w:rsidRPr="00337E5F">
        <w:rPr>
          <w:lang w:val="fr-FR"/>
        </w:rPr>
        <w:t>évolution</w:t>
      </w:r>
      <w:r w:rsidR="00EE74F6" w:rsidRPr="00337E5F">
        <w:rPr>
          <w:lang w:val="fr-FR"/>
        </w:rPr>
        <w:t xml:space="preserve"> actuel</w:t>
      </w:r>
      <w:r w:rsidR="009E461C" w:rsidRPr="00337E5F">
        <w:rPr>
          <w:lang w:val="fr-FR"/>
        </w:rPr>
        <w:t>le</w:t>
      </w:r>
      <w:r w:rsidR="006C62EF" w:rsidRPr="00337E5F">
        <w:rPr>
          <w:lang w:val="fr-FR"/>
        </w:rPr>
        <w:t xml:space="preserve"> </w:t>
      </w:r>
      <w:r w:rsidR="00EE74F6" w:rsidRPr="00337E5F">
        <w:rPr>
          <w:lang w:val="fr-FR"/>
        </w:rPr>
        <w:t>de</w:t>
      </w:r>
      <w:r w:rsidR="007644E7" w:rsidRPr="00337E5F">
        <w:rPr>
          <w:lang w:val="fr-FR"/>
        </w:rPr>
        <w:t xml:space="preserve">s technologies de l'information, d'attribuer des </w:t>
      </w:r>
      <w:r w:rsidR="00EE74F6" w:rsidRPr="00337E5F">
        <w:rPr>
          <w:lang w:val="fr-FR"/>
        </w:rPr>
        <w:t>ressources dans le plan de numérotage international</w:t>
      </w:r>
      <w:r w:rsidR="00F0739F" w:rsidRPr="00337E5F">
        <w:rPr>
          <w:lang w:val="fr-FR"/>
        </w:rPr>
        <w:t xml:space="preserve"> </w:t>
      </w:r>
      <w:r w:rsidR="00EE74F6" w:rsidRPr="00337E5F">
        <w:rPr>
          <w:lang w:val="fr-FR"/>
        </w:rPr>
        <w:t xml:space="preserve">aux fabricants de dispositifs et aux fournisseurs de services qui interagissent avec des dispositifs d'utilisateur, notamment l'Internet des objets (IoT), sans préjudice des ressources de numérotage déjà attribuées et du droit souverain des </w:t>
      </w:r>
      <w:r w:rsidR="00F0739F" w:rsidRPr="00337E5F">
        <w:rPr>
          <w:lang w:val="fr-FR"/>
        </w:rPr>
        <w:t>É</w:t>
      </w:r>
      <w:r w:rsidR="00EE74F6" w:rsidRPr="00337E5F">
        <w:rPr>
          <w:lang w:val="fr-FR"/>
        </w:rPr>
        <w:t>tats Membres de l'UIT,</w:t>
      </w:r>
      <w:bookmarkEnd w:id="1"/>
    </w:p>
    <w:p w14:paraId="00210745" w14:textId="5A40D0AD" w:rsidR="004E6528" w:rsidRPr="00337E5F" w:rsidRDefault="004E6528" w:rsidP="006C62EF">
      <w:pPr>
        <w:pStyle w:val="Call"/>
        <w:rPr>
          <w:lang w:val="fr-FR"/>
        </w:rPr>
      </w:pPr>
      <w:r w:rsidRPr="00337E5F">
        <w:rPr>
          <w:lang w:val="fr-FR"/>
        </w:rPr>
        <w:t>rappelant</w:t>
      </w:r>
    </w:p>
    <w:p w14:paraId="03925CC3" w14:textId="7ADC2D14" w:rsidR="004E6528" w:rsidRPr="00337E5F" w:rsidRDefault="004E6528" w:rsidP="006C62EF">
      <w:pPr>
        <w:rPr>
          <w:lang w:val="fr-FR"/>
        </w:rPr>
      </w:pPr>
      <w:r w:rsidRPr="00337E5F">
        <w:rPr>
          <w:i/>
          <w:iCs/>
          <w:lang w:val="fr-FR"/>
        </w:rPr>
        <w:t>a)</w:t>
      </w:r>
      <w:r w:rsidRPr="00337E5F">
        <w:rPr>
          <w:lang w:val="fr-FR"/>
        </w:rPr>
        <w:tab/>
      </w:r>
      <w:r w:rsidR="00B22B62" w:rsidRPr="00337E5F">
        <w:rPr>
          <w:lang w:val="fr-FR"/>
        </w:rPr>
        <w:t xml:space="preserve">les </w:t>
      </w:r>
      <w:r w:rsidR="00964E29" w:rsidRPr="00337E5F">
        <w:rPr>
          <w:lang w:val="fr-FR"/>
        </w:rPr>
        <w:t>solutions possibles pour</w:t>
      </w:r>
      <w:r w:rsidR="00B22B62" w:rsidRPr="00337E5F">
        <w:rPr>
          <w:lang w:val="fr-FR"/>
        </w:rPr>
        <w:t xml:space="preserve"> résoudre les problèmes actuels concernant le </w:t>
      </w:r>
      <w:r w:rsidR="00DC52EC" w:rsidRPr="00337E5F">
        <w:rPr>
          <w:lang w:val="fr-FR"/>
        </w:rPr>
        <w:t xml:space="preserve">cadre </w:t>
      </w:r>
      <w:r w:rsidR="00950F5D" w:rsidRPr="00337E5F">
        <w:rPr>
          <w:lang w:val="fr-FR"/>
        </w:rPr>
        <w:t>d'identification</w:t>
      </w:r>
      <w:r w:rsidR="006C62EF" w:rsidRPr="00337E5F">
        <w:rPr>
          <w:lang w:val="fr-FR"/>
        </w:rPr>
        <w:t xml:space="preserve"> </w:t>
      </w:r>
      <w:r w:rsidR="00DC52EC" w:rsidRPr="00337E5F">
        <w:rPr>
          <w:lang w:val="fr-FR"/>
        </w:rPr>
        <w:t xml:space="preserve">pour </w:t>
      </w:r>
      <w:r w:rsidR="00950F5D" w:rsidRPr="00337E5F">
        <w:rPr>
          <w:lang w:val="fr-FR"/>
        </w:rPr>
        <w:t>les réseaux futurs</w:t>
      </w:r>
      <w:r w:rsidR="005C1F83" w:rsidRPr="00337E5F">
        <w:rPr>
          <w:lang w:val="fr-FR"/>
        </w:rPr>
        <w:t xml:space="preserve"> (Recomm</w:t>
      </w:r>
      <w:r w:rsidR="00950F5D" w:rsidRPr="00337E5F">
        <w:rPr>
          <w:lang w:val="fr-FR"/>
        </w:rPr>
        <w:t>a</w:t>
      </w:r>
      <w:r w:rsidR="005C1F83" w:rsidRPr="00337E5F">
        <w:rPr>
          <w:lang w:val="fr-FR"/>
        </w:rPr>
        <w:t xml:space="preserve">ndation </w:t>
      </w:r>
      <w:r w:rsidR="00950F5D" w:rsidRPr="00337E5F">
        <w:rPr>
          <w:lang w:val="fr-FR"/>
        </w:rPr>
        <w:t>UIT</w:t>
      </w:r>
      <w:r w:rsidR="005C1F83" w:rsidRPr="00337E5F">
        <w:rPr>
          <w:lang w:val="fr-FR"/>
        </w:rPr>
        <w:t>-T Y.3031);</w:t>
      </w:r>
    </w:p>
    <w:p w14:paraId="0BF5821F" w14:textId="0701FC94" w:rsidR="00CF7973" w:rsidRPr="00337E5F" w:rsidRDefault="005C1F83" w:rsidP="006C62EF">
      <w:pPr>
        <w:rPr>
          <w:lang w:val="fr-FR"/>
        </w:rPr>
      </w:pPr>
      <w:r w:rsidRPr="00337E5F">
        <w:rPr>
          <w:i/>
          <w:iCs/>
          <w:lang w:val="fr-FR"/>
        </w:rPr>
        <w:t>b)</w:t>
      </w:r>
      <w:r w:rsidRPr="00337E5F">
        <w:rPr>
          <w:lang w:val="fr-FR"/>
        </w:rPr>
        <w:tab/>
      </w:r>
      <w:r w:rsidR="00177363" w:rsidRPr="00337E5F">
        <w:rPr>
          <w:lang w:val="fr-FR"/>
        </w:rPr>
        <w:t xml:space="preserve">les problèmes d'acheminement du trafic </w:t>
      </w:r>
      <w:r w:rsidR="00DC52EC" w:rsidRPr="00337E5F">
        <w:rPr>
          <w:lang w:val="fr-FR"/>
        </w:rPr>
        <w:t>ne reposant pas sur le protocole Internet</w:t>
      </w:r>
      <w:r w:rsidR="006C62EF" w:rsidRPr="00337E5F">
        <w:rPr>
          <w:lang w:val="fr-FR"/>
        </w:rPr>
        <w:t xml:space="preserve"> </w:t>
      </w:r>
      <w:r w:rsidR="00DC52EC" w:rsidRPr="00337E5F">
        <w:rPr>
          <w:lang w:val="fr-FR"/>
        </w:rPr>
        <w:t>(</w:t>
      </w:r>
      <w:r w:rsidR="00177363" w:rsidRPr="00337E5F">
        <w:rPr>
          <w:lang w:val="fr-FR"/>
        </w:rPr>
        <w:t>IP</w:t>
      </w:r>
      <w:r w:rsidR="00DC52EC" w:rsidRPr="00337E5F">
        <w:rPr>
          <w:lang w:val="fr-FR"/>
        </w:rPr>
        <w:t>)</w:t>
      </w:r>
      <w:r w:rsidR="00177363" w:rsidRPr="00337E5F">
        <w:rPr>
          <w:lang w:val="fr-FR"/>
        </w:rPr>
        <w:t xml:space="preserve"> dans les réseaux existants et futurs,</w:t>
      </w:r>
    </w:p>
    <w:p w14:paraId="4D408E9F" w14:textId="77777777" w:rsidR="00CF7973" w:rsidRPr="00337E5F" w:rsidRDefault="00CF7973" w:rsidP="006C62EF">
      <w:pPr>
        <w:pStyle w:val="Call"/>
        <w:rPr>
          <w:lang w:val="fr-FR"/>
        </w:rPr>
      </w:pPr>
      <w:r w:rsidRPr="00337E5F">
        <w:rPr>
          <w:lang w:val="fr-FR"/>
        </w:rPr>
        <w:t>notant</w:t>
      </w:r>
    </w:p>
    <w:p w14:paraId="40AC5A61" w14:textId="0ACB3CC3" w:rsidR="00CF7973" w:rsidRPr="00337E5F" w:rsidRDefault="00CF7973" w:rsidP="006C62EF">
      <w:pPr>
        <w:rPr>
          <w:lang w:val="fr-FR"/>
        </w:rPr>
      </w:pPr>
      <w:r w:rsidRPr="00337E5F">
        <w:rPr>
          <w:i/>
          <w:iCs/>
          <w:lang w:val="fr-FR"/>
        </w:rPr>
        <w:t>a)</w:t>
      </w:r>
      <w:r w:rsidRPr="00337E5F">
        <w:rPr>
          <w:lang w:val="fr-FR"/>
        </w:rPr>
        <w:tab/>
      </w:r>
      <w:r w:rsidR="00DC52EC" w:rsidRPr="00337E5F">
        <w:rPr>
          <w:lang w:val="fr-FR"/>
        </w:rPr>
        <w:t xml:space="preserve">que </w:t>
      </w:r>
      <w:r w:rsidRPr="00337E5F">
        <w:rPr>
          <w:lang w:val="fr-FR"/>
        </w:rPr>
        <w:t>la Commission d'études 2 du Secteur de la normalisation des télécommunications de l'UIT (UIT-T)</w:t>
      </w:r>
      <w:r w:rsidR="006C62EF" w:rsidRPr="00337E5F">
        <w:rPr>
          <w:lang w:val="fr-FR"/>
        </w:rPr>
        <w:t xml:space="preserve"> </w:t>
      </w:r>
      <w:r w:rsidR="00DC52EC" w:rsidRPr="00337E5F">
        <w:rPr>
          <w:lang w:val="fr-FR"/>
        </w:rPr>
        <w:t>mène des</w:t>
      </w:r>
      <w:r w:rsidR="006C62EF" w:rsidRPr="00337E5F">
        <w:rPr>
          <w:lang w:val="fr-FR"/>
        </w:rPr>
        <w:t xml:space="preserve"> </w:t>
      </w:r>
      <w:r w:rsidR="00DC52EC" w:rsidRPr="00337E5F">
        <w:rPr>
          <w:lang w:val="fr-FR"/>
        </w:rPr>
        <w:t>travaux sur</w:t>
      </w:r>
      <w:r w:rsidR="006C62EF" w:rsidRPr="00337E5F">
        <w:rPr>
          <w:lang w:val="fr-FR"/>
        </w:rPr>
        <w:t xml:space="preserve"> </w:t>
      </w:r>
      <w:r w:rsidRPr="00337E5F">
        <w:rPr>
          <w:lang w:val="fr-FR"/>
        </w:rPr>
        <w:t>l'évolution du système de numérotage, y compris "l'avenir du numérotage", les réseaux de prochaine génération (NGN) et les réseaux futurs étant considérés comme l'environnement dans lequel le système de numérotage fonctionnera à l'avenir;</w:t>
      </w:r>
    </w:p>
    <w:p w14:paraId="2F14154E" w14:textId="29D3DAFE" w:rsidR="00CF7973" w:rsidRPr="00337E5F" w:rsidRDefault="00CF7973" w:rsidP="006C62EF">
      <w:pPr>
        <w:rPr>
          <w:lang w:val="fr-FR"/>
        </w:rPr>
      </w:pPr>
      <w:r w:rsidRPr="00337E5F">
        <w:rPr>
          <w:i/>
          <w:iCs/>
          <w:lang w:val="fr-FR"/>
        </w:rPr>
        <w:t>b)</w:t>
      </w:r>
      <w:r w:rsidRPr="00337E5F">
        <w:rPr>
          <w:lang w:val="fr-FR"/>
        </w:rPr>
        <w:tab/>
        <w:t>que le passage des réseaux traditionnels aux réseaux IP s'effectue à un rythme soutenu, alors que s'opère le passage aux réseaux NGN et aux réseaux futurs;</w:t>
      </w:r>
    </w:p>
    <w:p w14:paraId="3082118D" w14:textId="77777777" w:rsidR="00CF7973" w:rsidRPr="00337E5F" w:rsidRDefault="00CF7973" w:rsidP="006C62EF">
      <w:pPr>
        <w:rPr>
          <w:lang w:val="fr-FR"/>
        </w:rPr>
      </w:pPr>
      <w:r w:rsidRPr="00337E5F">
        <w:rPr>
          <w:i/>
          <w:iCs/>
          <w:lang w:val="fr-FR"/>
        </w:rPr>
        <w:t>c)</w:t>
      </w:r>
      <w:r w:rsidRPr="00337E5F">
        <w:rPr>
          <w:lang w:val="fr-FR"/>
        </w:rPr>
        <w:tab/>
        <w:t>les nouvelles questions qui se posent en matière de gestion administrative des numéros fondés sur des services internationaux de télécommunication;</w:t>
      </w:r>
    </w:p>
    <w:p w14:paraId="08E81B41" w14:textId="77777777" w:rsidR="00CF7973" w:rsidRPr="00337E5F" w:rsidRDefault="00CF7973" w:rsidP="006C62EF">
      <w:pPr>
        <w:rPr>
          <w:lang w:val="fr-FR"/>
        </w:rPr>
      </w:pPr>
      <w:r w:rsidRPr="00337E5F">
        <w:rPr>
          <w:i/>
          <w:iCs/>
          <w:lang w:val="fr-FR"/>
        </w:rPr>
        <w:lastRenderedPageBreak/>
        <w:t>d)</w:t>
      </w:r>
      <w:r w:rsidRPr="00337E5F">
        <w:rPr>
          <w:lang w:val="fr-FR"/>
        </w:rPr>
        <w:tab/>
        <w:t>les questions que posera la convergence des systèmes de numérotage, de nommage, d'adressage et d'identification avec le développement des réseaux NGN et des réseaux futurs et les aspects associés concernant la sécurité, la signalisation, la portabilité et la transition;</w:t>
      </w:r>
    </w:p>
    <w:p w14:paraId="4B6A3599" w14:textId="77777777" w:rsidR="00CF7973" w:rsidRPr="00337E5F" w:rsidRDefault="00CF7973" w:rsidP="006C62EF">
      <w:pPr>
        <w:rPr>
          <w:lang w:val="fr-FR"/>
        </w:rPr>
      </w:pPr>
      <w:r w:rsidRPr="00337E5F">
        <w:rPr>
          <w:i/>
          <w:iCs/>
          <w:lang w:val="fr-FR"/>
        </w:rPr>
        <w:t>e)</w:t>
      </w:r>
      <w:r w:rsidRPr="00337E5F">
        <w:rPr>
          <w:lang w:val="fr-FR"/>
        </w:rPr>
        <w:tab/>
        <w:t>la demande croissante de ressources de numérotage/d'identification pour les communications dites de machine à machine (M2M);</w:t>
      </w:r>
    </w:p>
    <w:p w14:paraId="44971622" w14:textId="77777777" w:rsidR="00CF7973" w:rsidRPr="00337E5F" w:rsidRDefault="00CF7973" w:rsidP="006C62EF">
      <w:pPr>
        <w:rPr>
          <w:lang w:val="fr-FR"/>
        </w:rPr>
      </w:pPr>
      <w:r w:rsidRPr="00337E5F">
        <w:rPr>
          <w:i/>
          <w:iCs/>
          <w:lang w:val="fr-FR"/>
        </w:rPr>
        <w:t>f)</w:t>
      </w:r>
      <w:r w:rsidRPr="00337E5F">
        <w:rPr>
          <w:lang w:val="fr-FR"/>
        </w:rPr>
        <w:tab/>
        <w:t>la nécessité de disposer de principes et d'une feuille de route concernant l'évolution des ressources de télécommunication internationales, qui devraient faciliter la mise en place rapide et prévisible des technologies d'identification évoluées,</w:t>
      </w:r>
    </w:p>
    <w:p w14:paraId="3011BAF2" w14:textId="2C63BCDE" w:rsidR="005C1F83" w:rsidRPr="00337E5F" w:rsidRDefault="005C1F83" w:rsidP="006C62EF">
      <w:pPr>
        <w:pStyle w:val="Call"/>
        <w:rPr>
          <w:lang w:val="fr-FR"/>
        </w:rPr>
      </w:pPr>
      <w:r w:rsidRPr="00337E5F">
        <w:rPr>
          <w:lang w:val="fr-FR"/>
        </w:rPr>
        <w:t>considérant en outre</w:t>
      </w:r>
    </w:p>
    <w:p w14:paraId="333D9AB3" w14:textId="1ECB8052" w:rsidR="005C1F83" w:rsidRPr="00337E5F" w:rsidRDefault="005C1F83" w:rsidP="006C62EF">
      <w:pPr>
        <w:rPr>
          <w:lang w:val="fr-FR"/>
        </w:rPr>
      </w:pPr>
      <w:r w:rsidRPr="00337E5F">
        <w:rPr>
          <w:i/>
          <w:iCs/>
          <w:lang w:val="fr-FR"/>
        </w:rPr>
        <w:t>а)</w:t>
      </w:r>
      <w:r w:rsidRPr="00337E5F">
        <w:rPr>
          <w:lang w:val="fr-FR"/>
        </w:rPr>
        <w:tab/>
      </w:r>
      <w:r w:rsidR="002A0C41" w:rsidRPr="00337E5F">
        <w:rPr>
          <w:lang w:val="fr-FR"/>
        </w:rPr>
        <w:t xml:space="preserve">que, dans les réseaux mobiles modernes, le code hexadécimal est utilisé </w:t>
      </w:r>
      <w:r w:rsidR="00ED0308" w:rsidRPr="00337E5F">
        <w:rPr>
          <w:lang w:val="fr-FR"/>
        </w:rPr>
        <w:t>comme</w:t>
      </w:r>
      <w:r w:rsidR="008F7346" w:rsidRPr="00337E5F">
        <w:rPr>
          <w:lang w:val="fr-FR"/>
        </w:rPr>
        <w:t xml:space="preserve"> identificateur</w:t>
      </w:r>
      <w:r w:rsidR="002A0C41" w:rsidRPr="00337E5F">
        <w:rPr>
          <w:lang w:val="fr-FR"/>
        </w:rPr>
        <w:t xml:space="preserve"> [numéro] d'abonné mobile temporaire </w:t>
      </w:r>
      <w:r w:rsidR="008F7346" w:rsidRPr="00337E5F">
        <w:rPr>
          <w:lang w:val="fr-FR"/>
        </w:rPr>
        <w:t>(TMSI),</w:t>
      </w:r>
      <w:r w:rsidR="006C62EF" w:rsidRPr="00337E5F">
        <w:rPr>
          <w:lang w:val="fr-FR"/>
        </w:rPr>
        <w:t xml:space="preserve"> </w:t>
      </w:r>
      <w:r w:rsidR="00237457" w:rsidRPr="00337E5F">
        <w:rPr>
          <w:lang w:val="fr-FR"/>
        </w:rPr>
        <w:t xml:space="preserve">identificateur </w:t>
      </w:r>
      <w:r w:rsidR="00ED0308" w:rsidRPr="00337E5F">
        <w:rPr>
          <w:lang w:val="fr-FR"/>
        </w:rPr>
        <w:t>qui est</w:t>
      </w:r>
      <w:r w:rsidR="002A0C41" w:rsidRPr="00337E5F">
        <w:rPr>
          <w:lang w:val="fr-FR"/>
        </w:rPr>
        <w:t xml:space="preserve"> généré </w:t>
      </w:r>
      <w:r w:rsidR="00944E96" w:rsidRPr="00337E5F">
        <w:rPr>
          <w:lang w:val="fr-FR"/>
        </w:rPr>
        <w:t xml:space="preserve">de manière </w:t>
      </w:r>
      <w:r w:rsidR="002A0C41" w:rsidRPr="00337E5F">
        <w:rPr>
          <w:lang w:val="fr-FR"/>
        </w:rPr>
        <w:t>aléatoire</w:t>
      </w:r>
      <w:r w:rsidR="006C62EF" w:rsidRPr="00337E5F">
        <w:rPr>
          <w:lang w:val="fr-FR"/>
        </w:rPr>
        <w:t xml:space="preserve"> </w:t>
      </w:r>
      <w:r w:rsidR="00ED0308" w:rsidRPr="00337E5F">
        <w:rPr>
          <w:lang w:val="fr-FR"/>
        </w:rPr>
        <w:t xml:space="preserve">et </w:t>
      </w:r>
      <w:r w:rsidR="00944E96" w:rsidRPr="00337E5F">
        <w:rPr>
          <w:lang w:val="fr-FR"/>
        </w:rPr>
        <w:t>est</w:t>
      </w:r>
      <w:r w:rsidR="002A0C41" w:rsidRPr="00337E5F">
        <w:rPr>
          <w:lang w:val="fr-FR"/>
        </w:rPr>
        <w:t xml:space="preserve"> utilisé </w:t>
      </w:r>
      <w:r w:rsidR="00944E96" w:rsidRPr="00337E5F">
        <w:rPr>
          <w:lang w:val="fr-FR"/>
        </w:rPr>
        <w:t>en lieu et</w:t>
      </w:r>
      <w:r w:rsidR="002A0C41" w:rsidRPr="00337E5F">
        <w:rPr>
          <w:lang w:val="fr-FR"/>
        </w:rPr>
        <w:t xml:space="preserve"> place de l'identificateur international d'abonné mobile (IMSI) pour </w:t>
      </w:r>
      <w:r w:rsidR="00237457" w:rsidRPr="00337E5F">
        <w:rPr>
          <w:lang w:val="fr-FR"/>
        </w:rPr>
        <w:t>chiffrer</w:t>
      </w:r>
      <w:r w:rsidR="002A0C41" w:rsidRPr="00337E5F">
        <w:rPr>
          <w:lang w:val="fr-FR"/>
        </w:rPr>
        <w:t xml:space="preserve"> le canal radioélectrique et l'inte</w:t>
      </w:r>
      <w:r w:rsidR="008F7346" w:rsidRPr="00337E5F">
        <w:rPr>
          <w:lang w:val="fr-FR"/>
        </w:rPr>
        <w:t>raction entre le dispositif d</w:t>
      </w:r>
      <w:r w:rsidR="002A0C41" w:rsidRPr="00337E5F">
        <w:rPr>
          <w:lang w:val="fr-FR"/>
        </w:rPr>
        <w:t>'abonné et le réseau mobile</w:t>
      </w:r>
      <w:r w:rsidR="00F05C49" w:rsidRPr="00337E5F">
        <w:rPr>
          <w:lang w:val="fr-FR"/>
        </w:rPr>
        <w:t>;</w:t>
      </w:r>
    </w:p>
    <w:p w14:paraId="5D649520" w14:textId="35E0672E" w:rsidR="005C1F83" w:rsidRPr="00337E5F" w:rsidRDefault="005C1F83" w:rsidP="006C62EF">
      <w:pPr>
        <w:rPr>
          <w:lang w:val="fr-FR"/>
        </w:rPr>
      </w:pPr>
      <w:bookmarkStart w:id="2" w:name="_Hlk95142729"/>
      <w:bookmarkStart w:id="3" w:name="_Hlk95143198"/>
      <w:r w:rsidRPr="00337E5F">
        <w:rPr>
          <w:i/>
          <w:iCs/>
          <w:lang w:val="fr-FR"/>
        </w:rPr>
        <w:t>b)</w:t>
      </w:r>
      <w:r w:rsidRPr="00337E5F">
        <w:rPr>
          <w:lang w:val="fr-FR"/>
        </w:rPr>
        <w:tab/>
      </w:r>
      <w:r w:rsidR="005147DC" w:rsidRPr="00337E5F">
        <w:rPr>
          <w:lang w:val="fr-FR"/>
        </w:rPr>
        <w:t xml:space="preserve">que l'introduction des lettres A, B, C, D, E et F dans le premier chiffre de l'indicatif de pays </w:t>
      </w:r>
      <w:r w:rsidR="00237457" w:rsidRPr="00337E5F">
        <w:rPr>
          <w:lang w:val="fr-FR"/>
        </w:rPr>
        <w:t xml:space="preserve">(CC) </w:t>
      </w:r>
      <w:r w:rsidR="005147DC" w:rsidRPr="00337E5F">
        <w:rPr>
          <w:lang w:val="fr-FR"/>
        </w:rPr>
        <w:t xml:space="preserve">du plan de numérotage des télécommunications publiques internationales </w:t>
      </w:r>
      <w:r w:rsidR="0036741C" w:rsidRPr="00337E5F">
        <w:rPr>
          <w:lang w:val="fr-FR"/>
        </w:rPr>
        <w:t xml:space="preserve">permet de </w:t>
      </w:r>
      <w:r w:rsidR="005147DC" w:rsidRPr="00337E5F">
        <w:rPr>
          <w:lang w:val="fr-FR"/>
        </w:rPr>
        <w:t>donner accès à plus de 2,6*10</w:t>
      </w:r>
      <w:r w:rsidR="005147DC" w:rsidRPr="00337E5F">
        <w:rPr>
          <w:vertAlign w:val="superscript"/>
          <w:lang w:val="fr-FR"/>
        </w:rPr>
        <w:t>18</w:t>
      </w:r>
      <w:r w:rsidR="005147DC" w:rsidRPr="00337E5F">
        <w:rPr>
          <w:lang w:val="fr-FR"/>
        </w:rPr>
        <w:t xml:space="preserve"> </w:t>
      </w:r>
      <w:r w:rsidR="002138DA" w:rsidRPr="00337E5F">
        <w:rPr>
          <w:lang w:val="fr-FR"/>
        </w:rPr>
        <w:t xml:space="preserve">numéros </w:t>
      </w:r>
      <w:r w:rsidR="005147DC" w:rsidRPr="00337E5F">
        <w:rPr>
          <w:lang w:val="fr-FR"/>
        </w:rPr>
        <w:t xml:space="preserve">pour plusieurs dispositifs d'abonné, et </w:t>
      </w:r>
      <w:r w:rsidR="00B41990" w:rsidRPr="00337E5F">
        <w:rPr>
          <w:lang w:val="fr-FR"/>
        </w:rPr>
        <w:t xml:space="preserve">que </w:t>
      </w:r>
      <w:r w:rsidR="005147DC" w:rsidRPr="00337E5F">
        <w:rPr>
          <w:lang w:val="fr-FR"/>
        </w:rPr>
        <w:t xml:space="preserve">le remplacement du code décimal par le code hexadécimal </w:t>
      </w:r>
      <w:r w:rsidR="00394651" w:rsidRPr="00337E5F">
        <w:rPr>
          <w:lang w:val="fr-FR"/>
        </w:rPr>
        <w:t>dans une numérotation à 15 chiffres pour le numéro du réseau numérique à intégration de services de l'abonné mobile (MSISDN</w:t>
      </w:r>
      <w:r w:rsidRPr="00337E5F">
        <w:rPr>
          <w:rStyle w:val="FootnoteReference"/>
          <w:lang w:val="fr-FR"/>
        </w:rPr>
        <w:footnoteReference w:id="1"/>
      </w:r>
      <w:r w:rsidR="004B46EA" w:rsidRPr="00337E5F">
        <w:rPr>
          <w:lang w:val="fr-FR"/>
        </w:rPr>
        <w:t>)</w:t>
      </w:r>
      <w:r w:rsidR="00237457" w:rsidRPr="00337E5F">
        <w:rPr>
          <w:lang w:val="fr-FR"/>
        </w:rPr>
        <w:t xml:space="preserve"> permet d</w:t>
      </w:r>
      <w:r w:rsidR="00130D47" w:rsidRPr="00337E5F">
        <w:rPr>
          <w:lang w:val="fr-FR"/>
        </w:rPr>
        <w:t>'</w:t>
      </w:r>
      <w:r w:rsidR="004B46EA" w:rsidRPr="00337E5F">
        <w:rPr>
          <w:lang w:val="fr-FR"/>
        </w:rPr>
        <w:t>accroître la capacité mondiale de numéros de 6,5*10</w:t>
      </w:r>
      <w:r w:rsidR="004B46EA" w:rsidRPr="00337E5F">
        <w:rPr>
          <w:vertAlign w:val="superscript"/>
          <w:lang w:val="fr-FR"/>
        </w:rPr>
        <w:t>18</w:t>
      </w:r>
      <w:r w:rsidR="004B46EA" w:rsidRPr="00337E5F">
        <w:rPr>
          <w:lang w:val="fr-FR"/>
        </w:rPr>
        <w:t xml:space="preserve"> numéros, </w:t>
      </w:r>
      <w:r w:rsidR="002A6A02" w:rsidRPr="00337E5F">
        <w:rPr>
          <w:lang w:val="fr-FR"/>
        </w:rPr>
        <w:t xml:space="preserve">ce qui représente une contribution importante pour le développement des réseaux de télécommunication </w:t>
      </w:r>
      <w:r w:rsidR="00854218" w:rsidRPr="00337E5F">
        <w:rPr>
          <w:lang w:val="fr-FR"/>
        </w:rPr>
        <w:t xml:space="preserve">utilisés </w:t>
      </w:r>
      <w:r w:rsidR="002A6A02" w:rsidRPr="00337E5F">
        <w:rPr>
          <w:lang w:val="fr-FR"/>
        </w:rPr>
        <w:t>pour l'acheminement du trafic autre qu'IP;</w:t>
      </w:r>
      <w:bookmarkEnd w:id="2"/>
    </w:p>
    <w:bookmarkEnd w:id="3"/>
    <w:p w14:paraId="24FE5CF3" w14:textId="39884F20" w:rsidR="00CF7973" w:rsidRPr="00337E5F" w:rsidRDefault="005C1F83" w:rsidP="006C62EF">
      <w:pPr>
        <w:rPr>
          <w:lang w:val="fr-FR"/>
        </w:rPr>
      </w:pPr>
      <w:r w:rsidRPr="00337E5F">
        <w:rPr>
          <w:i/>
          <w:iCs/>
          <w:lang w:val="fr-FR"/>
        </w:rPr>
        <w:t>c)</w:t>
      </w:r>
      <w:r w:rsidRPr="00337E5F">
        <w:rPr>
          <w:lang w:val="fr-FR"/>
        </w:rPr>
        <w:tab/>
        <w:t>qu'il existe une forte demande de ressources de</w:t>
      </w:r>
      <w:r w:rsidR="00B26AED" w:rsidRPr="00337E5F">
        <w:rPr>
          <w:lang w:val="fr-FR"/>
        </w:rPr>
        <w:t xml:space="preserve"> </w:t>
      </w:r>
      <w:r w:rsidRPr="00337E5F">
        <w:rPr>
          <w:lang w:val="fr-FR"/>
        </w:rPr>
        <w:t>numérotage, de nommage, d'adressage et d'identification (NNAI) en raison de l'apparition de technologies et d'applications nouvelles ou émergentes (par exemple, l'Internet des objets (IoT), les communications de machine à machine (M2M) et les réseaux et services mondiaux innovants)</w:t>
      </w:r>
      <w:r w:rsidR="00950F5D" w:rsidRPr="00337E5F">
        <w:rPr>
          <w:lang w:val="fr-FR"/>
        </w:rPr>
        <w:t>,</w:t>
      </w:r>
    </w:p>
    <w:p w14:paraId="4B34C029" w14:textId="57ACEC94" w:rsidR="005C1F83" w:rsidRPr="00337E5F" w:rsidRDefault="00C44075" w:rsidP="006C62EF">
      <w:pPr>
        <w:pStyle w:val="Call"/>
        <w:rPr>
          <w:lang w:val="fr-FR"/>
        </w:rPr>
      </w:pPr>
      <w:bookmarkStart w:id="4" w:name="_Hlk95143266"/>
      <w:r w:rsidRPr="00337E5F">
        <w:rPr>
          <w:lang w:val="fr-FR"/>
        </w:rPr>
        <w:t>décide de charger</w:t>
      </w:r>
    </w:p>
    <w:p w14:paraId="41BCBB83" w14:textId="7499F883" w:rsidR="005C1F83" w:rsidRPr="00337E5F" w:rsidRDefault="00C44075" w:rsidP="006C62EF">
      <w:pPr>
        <w:rPr>
          <w:lang w:val="fr-FR"/>
        </w:rPr>
      </w:pPr>
      <w:r w:rsidRPr="00337E5F">
        <w:rPr>
          <w:lang w:val="fr-FR"/>
        </w:rPr>
        <w:t xml:space="preserve">la Commission d'études 2, en collaboration avec les Commissions d'études 13 et 20 et d'autres commissions d'études </w:t>
      </w:r>
      <w:r w:rsidR="00E675A9" w:rsidRPr="00337E5F">
        <w:rPr>
          <w:lang w:val="fr-FR"/>
        </w:rPr>
        <w:t>concernées</w:t>
      </w:r>
      <w:r w:rsidRPr="00337E5F">
        <w:rPr>
          <w:lang w:val="fr-FR"/>
        </w:rPr>
        <w:t xml:space="preserve">, d'étudier la </w:t>
      </w:r>
      <w:r w:rsidR="00E675A9" w:rsidRPr="00337E5F">
        <w:rPr>
          <w:lang w:val="fr-FR"/>
        </w:rPr>
        <w:t>possibilité d</w:t>
      </w:r>
      <w:r w:rsidR="00130D47" w:rsidRPr="00337E5F">
        <w:rPr>
          <w:lang w:val="fr-FR"/>
        </w:rPr>
        <w:t>'</w:t>
      </w:r>
      <w:r w:rsidR="00E675A9" w:rsidRPr="00337E5F">
        <w:rPr>
          <w:lang w:val="fr-FR"/>
        </w:rPr>
        <w:t xml:space="preserve">étendre le </w:t>
      </w:r>
      <w:r w:rsidRPr="00337E5F">
        <w:rPr>
          <w:lang w:val="fr-FR"/>
        </w:rPr>
        <w:t xml:space="preserve">plan de numérotage </w:t>
      </w:r>
      <w:r w:rsidR="00E675A9" w:rsidRPr="00337E5F">
        <w:rPr>
          <w:lang w:val="fr-FR"/>
        </w:rPr>
        <w:t xml:space="preserve">international </w:t>
      </w:r>
      <w:r w:rsidRPr="00337E5F">
        <w:rPr>
          <w:lang w:val="fr-FR"/>
        </w:rPr>
        <w:t xml:space="preserve">pour </w:t>
      </w:r>
      <w:r w:rsidR="00E675A9" w:rsidRPr="00337E5F">
        <w:rPr>
          <w:lang w:val="fr-FR"/>
        </w:rPr>
        <w:t>permettre l</w:t>
      </w:r>
      <w:r w:rsidR="00130D47" w:rsidRPr="00337E5F">
        <w:rPr>
          <w:lang w:val="fr-FR"/>
        </w:rPr>
        <w:t>'</w:t>
      </w:r>
      <w:r w:rsidR="00E675A9" w:rsidRPr="00337E5F">
        <w:rPr>
          <w:lang w:val="fr-FR"/>
        </w:rPr>
        <w:t>utilisation du</w:t>
      </w:r>
      <w:r w:rsidR="006C62EF" w:rsidRPr="00337E5F">
        <w:rPr>
          <w:lang w:val="fr-FR"/>
        </w:rPr>
        <w:t xml:space="preserve"> </w:t>
      </w:r>
      <w:r w:rsidRPr="00337E5F">
        <w:rPr>
          <w:lang w:val="fr-FR"/>
        </w:rPr>
        <w:t xml:space="preserve">format hexadécimal, </w:t>
      </w:r>
      <w:r w:rsidR="00690CE3" w:rsidRPr="00337E5F">
        <w:rPr>
          <w:lang w:val="fr-FR"/>
        </w:rPr>
        <w:t xml:space="preserve">y compris les </w:t>
      </w:r>
      <w:r w:rsidR="00A312EF" w:rsidRPr="00337E5F">
        <w:rPr>
          <w:lang w:val="fr-FR"/>
        </w:rPr>
        <w:t xml:space="preserve">questions </w:t>
      </w:r>
      <w:r w:rsidR="00690CE3" w:rsidRPr="00337E5F">
        <w:rPr>
          <w:lang w:val="fr-FR"/>
        </w:rPr>
        <w:t>suivantes:</w:t>
      </w:r>
    </w:p>
    <w:bookmarkEnd w:id="4"/>
    <w:p w14:paraId="00726989" w14:textId="33B4906E" w:rsidR="005C1F83" w:rsidRPr="00337E5F" w:rsidRDefault="005C1F83" w:rsidP="006C62EF">
      <w:pPr>
        <w:rPr>
          <w:lang w:val="fr-FR"/>
        </w:rPr>
      </w:pPr>
      <w:r w:rsidRPr="00337E5F">
        <w:rPr>
          <w:i/>
          <w:iCs/>
          <w:lang w:val="fr-FR"/>
        </w:rPr>
        <w:t>a)</w:t>
      </w:r>
      <w:r w:rsidRPr="00337E5F">
        <w:rPr>
          <w:lang w:val="fr-FR"/>
        </w:rPr>
        <w:tab/>
      </w:r>
      <w:r w:rsidR="00366BE6" w:rsidRPr="00337E5F">
        <w:rPr>
          <w:lang w:val="fr-FR"/>
        </w:rPr>
        <w:t>possibilité d'inclure les fabricants de dispositifs et les fournisseurs de services dans le plan de numérotage</w:t>
      </w:r>
      <w:r w:rsidR="00E675A9" w:rsidRPr="00337E5F">
        <w:rPr>
          <w:lang w:val="fr-FR"/>
        </w:rPr>
        <w:t xml:space="preserve"> international</w:t>
      </w:r>
      <w:r w:rsidR="00366BE6" w:rsidRPr="00337E5F">
        <w:rPr>
          <w:lang w:val="fr-FR"/>
        </w:rPr>
        <w:t>;</w:t>
      </w:r>
      <w:bookmarkStart w:id="5" w:name="_Hlk95082465"/>
    </w:p>
    <w:bookmarkEnd w:id="5"/>
    <w:p w14:paraId="4047512F" w14:textId="295AF5C6" w:rsidR="005C1F83" w:rsidRPr="00337E5F" w:rsidRDefault="005C1F83" w:rsidP="006C62EF">
      <w:pPr>
        <w:rPr>
          <w:lang w:val="fr-FR"/>
        </w:rPr>
      </w:pPr>
      <w:r w:rsidRPr="00337E5F">
        <w:rPr>
          <w:i/>
          <w:iCs/>
          <w:lang w:val="fr-FR"/>
        </w:rPr>
        <w:t>b)</w:t>
      </w:r>
      <w:r w:rsidRPr="00337E5F">
        <w:rPr>
          <w:lang w:val="fr-FR"/>
        </w:rPr>
        <w:tab/>
      </w:r>
      <w:r w:rsidR="00C31E1C" w:rsidRPr="00337E5F">
        <w:rPr>
          <w:lang w:val="fr-FR"/>
        </w:rPr>
        <w:t>critères et</w:t>
      </w:r>
      <w:r w:rsidR="006C62EF" w:rsidRPr="00337E5F">
        <w:rPr>
          <w:lang w:val="fr-FR"/>
        </w:rPr>
        <w:t xml:space="preserve"> </w:t>
      </w:r>
      <w:r w:rsidR="00C31E1C" w:rsidRPr="00337E5F">
        <w:rPr>
          <w:lang w:val="fr-FR"/>
        </w:rPr>
        <w:t xml:space="preserve">procédure </w:t>
      </w:r>
      <w:r w:rsidR="00E675A9" w:rsidRPr="00337E5F">
        <w:rPr>
          <w:lang w:val="fr-FR"/>
        </w:rPr>
        <w:t xml:space="preserve">applicables à la </w:t>
      </w:r>
      <w:r w:rsidR="00C31E1C" w:rsidRPr="00337E5F">
        <w:rPr>
          <w:lang w:val="fr-FR"/>
        </w:rPr>
        <w:t>gestion de</w:t>
      </w:r>
      <w:r w:rsidR="006C62EF" w:rsidRPr="00337E5F">
        <w:rPr>
          <w:lang w:val="fr-FR"/>
        </w:rPr>
        <w:t xml:space="preserve"> </w:t>
      </w:r>
      <w:r w:rsidR="009C2FE8" w:rsidRPr="00337E5F">
        <w:rPr>
          <w:lang w:val="fr-FR"/>
        </w:rPr>
        <w:t>l</w:t>
      </w:r>
      <w:r w:rsidR="00130D47" w:rsidRPr="00337E5F">
        <w:rPr>
          <w:lang w:val="fr-FR"/>
        </w:rPr>
        <w:t>'</w:t>
      </w:r>
      <w:r w:rsidR="009C2FE8" w:rsidRPr="00337E5F">
        <w:rPr>
          <w:lang w:val="fr-FR"/>
        </w:rPr>
        <w:t xml:space="preserve">attribution </w:t>
      </w:r>
      <w:r w:rsidR="00C31E1C" w:rsidRPr="00337E5F">
        <w:rPr>
          <w:lang w:val="fr-FR"/>
        </w:rPr>
        <w:t>d'espaces d'adressage aux fabricants de dispositifs et aux fournisseurs de services;</w:t>
      </w:r>
    </w:p>
    <w:p w14:paraId="0B025C8F" w14:textId="276C70CD" w:rsidR="005C1F83" w:rsidRPr="00337E5F" w:rsidRDefault="005C1F83" w:rsidP="006C62EF">
      <w:pPr>
        <w:rPr>
          <w:lang w:val="fr-FR"/>
        </w:rPr>
      </w:pPr>
      <w:r w:rsidRPr="00337E5F">
        <w:rPr>
          <w:i/>
          <w:iCs/>
          <w:lang w:val="fr-FR"/>
        </w:rPr>
        <w:t>c)</w:t>
      </w:r>
      <w:r w:rsidRPr="00337E5F">
        <w:rPr>
          <w:lang w:val="fr-FR"/>
        </w:rPr>
        <w:tab/>
      </w:r>
      <w:r w:rsidR="006101CE" w:rsidRPr="00337E5F">
        <w:rPr>
          <w:lang w:val="fr-FR"/>
        </w:rPr>
        <w:t xml:space="preserve">incidences économiques et réglementaires de l'utilisation du format </w:t>
      </w:r>
      <w:r w:rsidR="004C5096" w:rsidRPr="00337E5F">
        <w:rPr>
          <w:lang w:val="fr-FR"/>
        </w:rPr>
        <w:t>hexadé</w:t>
      </w:r>
      <w:r w:rsidR="006101CE" w:rsidRPr="00337E5F">
        <w:rPr>
          <w:lang w:val="fr-FR"/>
        </w:rPr>
        <w:t>cimal dans le plan de numérotage</w:t>
      </w:r>
      <w:r w:rsidR="009C2FE8" w:rsidRPr="00337E5F">
        <w:rPr>
          <w:lang w:val="fr-FR"/>
        </w:rPr>
        <w:t xml:space="preserve"> international</w:t>
      </w:r>
      <w:r w:rsidR="006101CE" w:rsidRPr="00337E5F">
        <w:rPr>
          <w:lang w:val="fr-FR"/>
        </w:rPr>
        <w:t>;</w:t>
      </w:r>
    </w:p>
    <w:p w14:paraId="74A588C7" w14:textId="06302B16" w:rsidR="005C1F83" w:rsidRPr="00337E5F" w:rsidRDefault="005C1F83" w:rsidP="006C62EF">
      <w:pPr>
        <w:rPr>
          <w:i/>
          <w:iCs/>
          <w:lang w:val="fr-FR"/>
        </w:rPr>
      </w:pPr>
      <w:r w:rsidRPr="00337E5F">
        <w:rPr>
          <w:i/>
          <w:iCs/>
          <w:lang w:val="fr-FR"/>
        </w:rPr>
        <w:t>d)</w:t>
      </w:r>
      <w:r w:rsidRPr="00337E5F">
        <w:rPr>
          <w:lang w:val="fr-FR"/>
        </w:rPr>
        <w:tab/>
      </w:r>
      <w:r w:rsidR="006B5FC0" w:rsidRPr="00337E5F">
        <w:rPr>
          <w:lang w:val="fr-FR"/>
        </w:rPr>
        <w:t>questions relatives à la compatibilité et à l'harmonisation des normes international</w:t>
      </w:r>
      <w:r w:rsidR="004C5096" w:rsidRPr="00337E5F">
        <w:rPr>
          <w:lang w:val="fr-FR"/>
        </w:rPr>
        <w:t>e</w:t>
      </w:r>
      <w:r w:rsidR="006B5FC0" w:rsidRPr="00337E5F">
        <w:rPr>
          <w:lang w:val="fr-FR"/>
        </w:rPr>
        <w:t>s et des Recommandations en vigueur</w:t>
      </w:r>
      <w:r w:rsidR="006C62EF" w:rsidRPr="00337E5F">
        <w:rPr>
          <w:lang w:val="fr-FR"/>
        </w:rPr>
        <w:t xml:space="preserve"> </w:t>
      </w:r>
      <w:r w:rsidR="009C2FE8" w:rsidRPr="00337E5F">
        <w:rPr>
          <w:lang w:val="fr-FR"/>
        </w:rPr>
        <w:t>ou</w:t>
      </w:r>
      <w:r w:rsidR="006C62EF" w:rsidRPr="00337E5F">
        <w:rPr>
          <w:lang w:val="fr-FR"/>
        </w:rPr>
        <w:t xml:space="preserve"> </w:t>
      </w:r>
      <w:r w:rsidR="006B5FC0" w:rsidRPr="00337E5F">
        <w:rPr>
          <w:lang w:val="fr-FR"/>
        </w:rPr>
        <w:t>en cours d'élaboration,</w:t>
      </w:r>
    </w:p>
    <w:p w14:paraId="5C01E79B" w14:textId="77777777" w:rsidR="00950F5D" w:rsidRPr="00337E5F" w:rsidRDefault="00950F5D" w:rsidP="006C62EF">
      <w:pPr>
        <w:pStyle w:val="Call"/>
        <w:rPr>
          <w:lang w:val="fr-FR"/>
        </w:rPr>
      </w:pPr>
      <w:r w:rsidRPr="00337E5F">
        <w:rPr>
          <w:lang w:val="fr-FR"/>
        </w:rPr>
        <w:t>charge le Directeur du Bureau de la normalisation des télécommunications</w:t>
      </w:r>
    </w:p>
    <w:p w14:paraId="1CE65417" w14:textId="39677525" w:rsidR="005C1F83" w:rsidRPr="00337E5F" w:rsidRDefault="00950F5D" w:rsidP="006C62EF">
      <w:pPr>
        <w:rPr>
          <w:lang w:val="fr-FR"/>
        </w:rPr>
      </w:pPr>
      <w:r w:rsidRPr="00337E5F">
        <w:rPr>
          <w:lang w:val="fr-FR"/>
        </w:rPr>
        <w:t>1</w:t>
      </w:r>
      <w:r w:rsidRPr="00337E5F">
        <w:rPr>
          <w:lang w:val="fr-FR"/>
        </w:rPr>
        <w:tab/>
        <w:t>de prendre des mesures appropriées pour faciliter les travaux précité</w:t>
      </w:r>
      <w:r w:rsidR="003779A8" w:rsidRPr="00337E5F">
        <w:rPr>
          <w:lang w:val="fr-FR"/>
        </w:rPr>
        <w:t>s;</w:t>
      </w:r>
    </w:p>
    <w:p w14:paraId="4F785D4D" w14:textId="317954D8" w:rsidR="00950F5D" w:rsidRPr="00337E5F" w:rsidRDefault="00950F5D" w:rsidP="006C62EF">
      <w:pPr>
        <w:rPr>
          <w:lang w:val="fr-FR"/>
        </w:rPr>
      </w:pPr>
      <w:r w:rsidRPr="00337E5F">
        <w:rPr>
          <w:lang w:val="fr-FR"/>
        </w:rPr>
        <w:lastRenderedPageBreak/>
        <w:t>2</w:t>
      </w:r>
      <w:r w:rsidRPr="00337E5F">
        <w:rPr>
          <w:lang w:val="fr-FR"/>
        </w:rPr>
        <w:tab/>
      </w:r>
      <w:r w:rsidR="00247640" w:rsidRPr="00337E5F">
        <w:rPr>
          <w:lang w:val="fr-FR"/>
        </w:rPr>
        <w:t xml:space="preserve">d'encourager une vaste </w:t>
      </w:r>
      <w:r w:rsidR="008970DC" w:rsidRPr="00337E5F">
        <w:rPr>
          <w:lang w:val="fr-FR"/>
        </w:rPr>
        <w:t>coopé</w:t>
      </w:r>
      <w:r w:rsidR="00247640" w:rsidRPr="00337E5F">
        <w:rPr>
          <w:lang w:val="fr-FR"/>
        </w:rPr>
        <w:t>ration sur cette question avec d'autres organis</w:t>
      </w:r>
      <w:r w:rsidR="009C2FE8" w:rsidRPr="00337E5F">
        <w:rPr>
          <w:lang w:val="fr-FR"/>
        </w:rPr>
        <w:t>mes</w:t>
      </w:r>
      <w:r w:rsidR="006C62EF" w:rsidRPr="00337E5F">
        <w:rPr>
          <w:lang w:val="fr-FR"/>
        </w:rPr>
        <w:t xml:space="preserve"> </w:t>
      </w:r>
      <w:r w:rsidR="00247640" w:rsidRPr="00337E5F">
        <w:rPr>
          <w:lang w:val="fr-FR"/>
        </w:rPr>
        <w:t>de normalisation,</w:t>
      </w:r>
    </w:p>
    <w:p w14:paraId="64BC8F99" w14:textId="77777777" w:rsidR="00950F5D" w:rsidRPr="00337E5F" w:rsidRDefault="00950F5D" w:rsidP="006C62EF">
      <w:pPr>
        <w:pStyle w:val="Call"/>
        <w:rPr>
          <w:lang w:val="fr-FR"/>
        </w:rPr>
      </w:pPr>
      <w:r w:rsidRPr="00337E5F">
        <w:rPr>
          <w:lang w:val="fr-FR"/>
        </w:rPr>
        <w:t>invite les États Membres et les Membres de Secteur</w:t>
      </w:r>
    </w:p>
    <w:p w14:paraId="30DDCA15" w14:textId="77777777" w:rsidR="00950F5D" w:rsidRPr="00337E5F" w:rsidRDefault="00950F5D" w:rsidP="006C62EF">
      <w:pPr>
        <w:rPr>
          <w:lang w:val="fr-FR"/>
        </w:rPr>
      </w:pPr>
      <w:r w:rsidRPr="00337E5F">
        <w:rPr>
          <w:lang w:val="fr-FR"/>
        </w:rPr>
        <w:t>1</w:t>
      </w:r>
      <w:r w:rsidRPr="00337E5F">
        <w:rPr>
          <w:lang w:val="fr-FR"/>
        </w:rPr>
        <w:tab/>
        <w:t>à contribuer à ces activités, compte tenu de leurs préoccupations et de leurs données d'expérience nationales;</w:t>
      </w:r>
    </w:p>
    <w:p w14:paraId="01D9757E" w14:textId="5A909940" w:rsidR="00950F5D" w:rsidRPr="00337E5F" w:rsidRDefault="00950F5D" w:rsidP="006C62EF">
      <w:pPr>
        <w:rPr>
          <w:lang w:val="fr-FR"/>
        </w:rPr>
      </w:pPr>
      <w:r w:rsidRPr="00337E5F">
        <w:rPr>
          <w:lang w:val="fr-FR"/>
        </w:rPr>
        <w:t>2</w:t>
      </w:r>
      <w:r w:rsidRPr="00337E5F">
        <w:rPr>
          <w:lang w:val="fr-FR"/>
        </w:rPr>
        <w:tab/>
        <w:t>à participer et à contribuer aux discussions des groupes régionaux sur la question et à encourager la participation des pays en développement à ces discussions.</w:t>
      </w:r>
    </w:p>
    <w:p w14:paraId="7854210F" w14:textId="77777777" w:rsidR="00104CB3" w:rsidRPr="00337E5F" w:rsidRDefault="00104CB3" w:rsidP="006C62EF">
      <w:pPr>
        <w:pStyle w:val="Reasons"/>
        <w:rPr>
          <w:lang w:val="fr-FR"/>
        </w:rPr>
      </w:pPr>
    </w:p>
    <w:p w14:paraId="0E7D1847" w14:textId="77777777" w:rsidR="00950F5D" w:rsidRPr="00337E5F" w:rsidRDefault="00950F5D" w:rsidP="006C62EF">
      <w:pPr>
        <w:jc w:val="center"/>
        <w:rPr>
          <w:lang w:val="fr-FR"/>
        </w:rPr>
      </w:pPr>
      <w:r w:rsidRPr="00337E5F">
        <w:rPr>
          <w:lang w:val="fr-FR"/>
        </w:rPr>
        <w:t>______________</w:t>
      </w:r>
    </w:p>
    <w:sectPr w:rsidR="00950F5D" w:rsidRPr="00337E5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9EFC" w14:textId="64EDA25F" w:rsidR="005A0BC8" w:rsidRDefault="005A0BC8">
      <w:r>
        <w:separator/>
      </w:r>
    </w:p>
  </w:endnote>
  <w:endnote w:type="continuationSeparator" w:id="0">
    <w:p w14:paraId="71C2B246" w14:textId="5EEB5411"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C059" w14:textId="5726CCB5" w:rsidR="00E45D05" w:rsidRDefault="00E45D05">
    <w:pPr>
      <w:framePr w:wrap="around" w:vAnchor="text" w:hAnchor="margin" w:xAlign="right" w:y="1"/>
    </w:pPr>
    <w:r>
      <w:fldChar w:fldCharType="begin"/>
    </w:r>
    <w:r>
      <w:instrText xml:space="preserve">PAGE  </w:instrText>
    </w:r>
    <w:r>
      <w:fldChar w:fldCharType="end"/>
    </w:r>
  </w:p>
  <w:p w14:paraId="1DC9CFCE" w14:textId="45E4F9EF"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A52D56">
      <w:rPr>
        <w:noProof/>
      </w:rPr>
      <w:t>11.02.22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EAA7" w14:textId="7AF7532B" w:rsidR="00E45D05" w:rsidRPr="00714FDA" w:rsidRDefault="00E45D05" w:rsidP="00526703">
    <w:pPr>
      <w:pStyle w:val="Footer"/>
      <w:rPr>
        <w:lang w:val="fr-FR"/>
      </w:rPr>
    </w:pPr>
    <w:r>
      <w:fldChar w:fldCharType="begin"/>
    </w:r>
    <w:r w:rsidRPr="00714FDA">
      <w:rPr>
        <w:lang w:val="fr-FR"/>
      </w:rPr>
      <w:instrText xml:space="preserve"> FILENAME \p  \* MERGEFORMAT </w:instrText>
    </w:r>
    <w:r>
      <w:fldChar w:fldCharType="separate"/>
    </w:r>
    <w:r w:rsidR="006C62EF">
      <w:rPr>
        <w:lang w:val="fr-FR"/>
      </w:rPr>
      <w:t>P:\FRA\ITU-T\CONF-T\WTSA20\000\040ADD18F.docx</w:t>
    </w:r>
    <w:r>
      <w:fldChar w:fldCharType="end"/>
    </w:r>
    <w:r w:rsidR="002B60D4" w:rsidRPr="00714FDA">
      <w:rPr>
        <w:lang w:val="fr-FR"/>
      </w:rPr>
      <w:t xml:space="preserve"> (501294)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2824" w14:textId="4F3353E2" w:rsidR="002B60D4" w:rsidRPr="00714FDA" w:rsidRDefault="002B60D4">
    <w:pPr>
      <w:pStyle w:val="Footer"/>
      <w:rPr>
        <w:lang w:val="fr-FR"/>
      </w:rPr>
    </w:pPr>
    <w:r>
      <w:fldChar w:fldCharType="begin"/>
    </w:r>
    <w:r w:rsidRPr="00714FDA">
      <w:rPr>
        <w:lang w:val="fr-FR"/>
      </w:rPr>
      <w:instrText xml:space="preserve"> FILENAME \p  \* MERGEFORMAT </w:instrText>
    </w:r>
    <w:r>
      <w:fldChar w:fldCharType="separate"/>
    </w:r>
    <w:r w:rsidR="00CF3B6A">
      <w:rPr>
        <w:lang w:val="fr-FR"/>
      </w:rPr>
      <w:t>P:\FRA\ITU-T\CONF-T\WTSA20\000\040ADD18F.docx</w:t>
    </w:r>
    <w:r>
      <w:fldChar w:fldCharType="end"/>
    </w:r>
    <w:r w:rsidRPr="00714FDA">
      <w:rPr>
        <w:lang w:val="fr-FR"/>
      </w:rPr>
      <w:t xml:space="preserve"> (501294)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C1D1" w14:textId="77777777" w:rsidR="005A0BC8" w:rsidRDefault="005A0BC8">
      <w:r>
        <w:rPr>
          <w:b/>
        </w:rPr>
        <w:t>_______________</w:t>
      </w:r>
    </w:p>
  </w:footnote>
  <w:footnote w:type="continuationSeparator" w:id="0">
    <w:p w14:paraId="78B79E4E" w14:textId="7B652789" w:rsidR="005A0BC8" w:rsidRDefault="005A0BC8">
      <w:r>
        <w:continuationSeparator/>
      </w:r>
    </w:p>
  </w:footnote>
  <w:footnote w:id="1">
    <w:p w14:paraId="50FF6964" w14:textId="00F1B0D4" w:rsidR="005C1F83" w:rsidRPr="006C62EF" w:rsidRDefault="005C1F83" w:rsidP="00950F5D">
      <w:pPr>
        <w:pStyle w:val="FootnoteText"/>
        <w:spacing w:line="480" w:lineRule="auto"/>
        <w:rPr>
          <w:lang w:val="fr-FR"/>
        </w:rPr>
      </w:pPr>
      <w:r>
        <w:rPr>
          <w:rStyle w:val="FootnoteReference"/>
        </w:rPr>
        <w:footnoteRef/>
      </w:r>
      <w:r w:rsidRPr="006C62EF">
        <w:rPr>
          <w:lang w:val="fr-FR"/>
        </w:rPr>
        <w:tab/>
      </w:r>
      <w:r w:rsidR="009C4F58" w:rsidRPr="006C62EF">
        <w:rPr>
          <w:lang w:val="fr-FR"/>
        </w:rPr>
        <w:t xml:space="preserve">Numéro du réseau numérique à </w:t>
      </w:r>
      <w:r w:rsidR="009C4F58">
        <w:rPr>
          <w:lang w:val="fr-FR"/>
        </w:rPr>
        <w:t>inté</w:t>
      </w:r>
      <w:r w:rsidR="009C4F58" w:rsidRPr="006C62EF">
        <w:rPr>
          <w:lang w:val="fr-FR"/>
        </w:rPr>
        <w:t>gration de service</w:t>
      </w:r>
      <w:r w:rsidR="009C2FE8">
        <w:rPr>
          <w:lang w:val="fr-FR"/>
        </w:rPr>
        <w:t>s</w:t>
      </w:r>
      <w:r w:rsidR="009C4F58" w:rsidRPr="006C62EF">
        <w:rPr>
          <w:lang w:val="fr-FR"/>
        </w:rPr>
        <w:t xml:space="preserve"> de l'abonné mobile</w:t>
      </w:r>
      <w:r w:rsidR="009C4F58">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3129" w14:textId="290D522E" w:rsidR="00987C1F" w:rsidRDefault="00987C1F" w:rsidP="00987C1F">
    <w:pPr>
      <w:pStyle w:val="Header"/>
    </w:pPr>
    <w:r>
      <w:fldChar w:fldCharType="begin"/>
    </w:r>
    <w:r>
      <w:instrText xml:space="preserve"> PAGE </w:instrText>
    </w:r>
    <w:r>
      <w:fldChar w:fldCharType="separate"/>
    </w:r>
    <w:r w:rsidR="008970DC">
      <w:rPr>
        <w:noProof/>
      </w:rPr>
      <w:t>4</w:t>
    </w:r>
    <w:r>
      <w:fldChar w:fldCharType="end"/>
    </w:r>
  </w:p>
  <w:p w14:paraId="584BCF41" w14:textId="6310A867" w:rsidR="00987C1F" w:rsidRDefault="002B60D4" w:rsidP="00987C1F">
    <w:pPr>
      <w:pStyle w:val="Header"/>
    </w:pPr>
    <w:r>
      <w:t>Addendum 18 au</w:t>
    </w:r>
  </w:p>
  <w:p w14:paraId="11196664" w14:textId="72302C9A" w:rsidR="002B60D4" w:rsidRDefault="002B60D4" w:rsidP="00987C1F">
    <w:pPr>
      <w:pStyle w:val="Header"/>
    </w:pPr>
    <w: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F6173C4-A0ED-4797-BB37-EBB8E7D1DFC3}"/>
    <w:docVar w:name="dgnword-eventsink" w:val="1785621946320"/>
  </w:docVars>
  <w:rsids>
    <w:rsidRoot w:val="00B31EF6"/>
    <w:rsid w:val="000032AD"/>
    <w:rsid w:val="000041EA"/>
    <w:rsid w:val="00022A29"/>
    <w:rsid w:val="000355FD"/>
    <w:rsid w:val="00051E39"/>
    <w:rsid w:val="00077239"/>
    <w:rsid w:val="00081194"/>
    <w:rsid w:val="00086491"/>
    <w:rsid w:val="00091346"/>
    <w:rsid w:val="0009706C"/>
    <w:rsid w:val="000A14AF"/>
    <w:rsid w:val="000C506B"/>
    <w:rsid w:val="000E05BB"/>
    <w:rsid w:val="000F73FF"/>
    <w:rsid w:val="00104CB3"/>
    <w:rsid w:val="00114CF7"/>
    <w:rsid w:val="00123B68"/>
    <w:rsid w:val="00126F2E"/>
    <w:rsid w:val="00130D47"/>
    <w:rsid w:val="0014101A"/>
    <w:rsid w:val="00146F6F"/>
    <w:rsid w:val="00153859"/>
    <w:rsid w:val="00164C14"/>
    <w:rsid w:val="00177363"/>
    <w:rsid w:val="00187BD9"/>
    <w:rsid w:val="00190B55"/>
    <w:rsid w:val="001978FA"/>
    <w:rsid w:val="001A0F27"/>
    <w:rsid w:val="001C3B5F"/>
    <w:rsid w:val="001D058F"/>
    <w:rsid w:val="001D581B"/>
    <w:rsid w:val="001D77E9"/>
    <w:rsid w:val="001E1430"/>
    <w:rsid w:val="001E21C8"/>
    <w:rsid w:val="002009EA"/>
    <w:rsid w:val="00202CA0"/>
    <w:rsid w:val="002138DA"/>
    <w:rsid w:val="00216B6D"/>
    <w:rsid w:val="00237457"/>
    <w:rsid w:val="00247640"/>
    <w:rsid w:val="00250AF4"/>
    <w:rsid w:val="00271316"/>
    <w:rsid w:val="002728A0"/>
    <w:rsid w:val="002A0C41"/>
    <w:rsid w:val="002A6A02"/>
    <w:rsid w:val="002B2A75"/>
    <w:rsid w:val="002B60D4"/>
    <w:rsid w:val="002D4D50"/>
    <w:rsid w:val="002D58BE"/>
    <w:rsid w:val="002E210D"/>
    <w:rsid w:val="003236A6"/>
    <w:rsid w:val="00332C56"/>
    <w:rsid w:val="00337E5F"/>
    <w:rsid w:val="00345A52"/>
    <w:rsid w:val="003468BE"/>
    <w:rsid w:val="00366BE6"/>
    <w:rsid w:val="0036741C"/>
    <w:rsid w:val="003779A8"/>
    <w:rsid w:val="00377BD3"/>
    <w:rsid w:val="003832C0"/>
    <w:rsid w:val="00383366"/>
    <w:rsid w:val="00384088"/>
    <w:rsid w:val="0039169B"/>
    <w:rsid w:val="00394651"/>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B46EA"/>
    <w:rsid w:val="004C5096"/>
    <w:rsid w:val="004D5D5C"/>
    <w:rsid w:val="004E42A3"/>
    <w:rsid w:val="004E6528"/>
    <w:rsid w:val="0050139F"/>
    <w:rsid w:val="005147DC"/>
    <w:rsid w:val="00526703"/>
    <w:rsid w:val="00530525"/>
    <w:rsid w:val="0055140B"/>
    <w:rsid w:val="00595780"/>
    <w:rsid w:val="005964AB"/>
    <w:rsid w:val="005A0BC8"/>
    <w:rsid w:val="005C099A"/>
    <w:rsid w:val="005C1F83"/>
    <w:rsid w:val="005C31A5"/>
    <w:rsid w:val="005D27FE"/>
    <w:rsid w:val="005E10C9"/>
    <w:rsid w:val="005E28A3"/>
    <w:rsid w:val="005E61DD"/>
    <w:rsid w:val="006023DF"/>
    <w:rsid w:val="006101CE"/>
    <w:rsid w:val="00657DE0"/>
    <w:rsid w:val="00685313"/>
    <w:rsid w:val="0069092B"/>
    <w:rsid w:val="00690CE3"/>
    <w:rsid w:val="00692833"/>
    <w:rsid w:val="006A6E9B"/>
    <w:rsid w:val="006B249F"/>
    <w:rsid w:val="006B5FC0"/>
    <w:rsid w:val="006B7C2A"/>
    <w:rsid w:val="006C23DA"/>
    <w:rsid w:val="006C62EF"/>
    <w:rsid w:val="006E013B"/>
    <w:rsid w:val="006E3D45"/>
    <w:rsid w:val="006F580E"/>
    <w:rsid w:val="00701DE1"/>
    <w:rsid w:val="007149F9"/>
    <w:rsid w:val="00714FDA"/>
    <w:rsid w:val="00733A30"/>
    <w:rsid w:val="00736521"/>
    <w:rsid w:val="00745AEE"/>
    <w:rsid w:val="00750F10"/>
    <w:rsid w:val="007644E7"/>
    <w:rsid w:val="007742CA"/>
    <w:rsid w:val="00790D70"/>
    <w:rsid w:val="007B4198"/>
    <w:rsid w:val="007D5320"/>
    <w:rsid w:val="008006C5"/>
    <w:rsid w:val="00800972"/>
    <w:rsid w:val="00804475"/>
    <w:rsid w:val="00811633"/>
    <w:rsid w:val="00813B79"/>
    <w:rsid w:val="00854218"/>
    <w:rsid w:val="00864CD2"/>
    <w:rsid w:val="00865170"/>
    <w:rsid w:val="00872FC8"/>
    <w:rsid w:val="008845D0"/>
    <w:rsid w:val="008970DC"/>
    <w:rsid w:val="008A69FB"/>
    <w:rsid w:val="008B1AEA"/>
    <w:rsid w:val="008B43F2"/>
    <w:rsid w:val="008B6CFF"/>
    <w:rsid w:val="008C27E9"/>
    <w:rsid w:val="008C6BAA"/>
    <w:rsid w:val="008F7346"/>
    <w:rsid w:val="009019FD"/>
    <w:rsid w:val="0092425C"/>
    <w:rsid w:val="009274B4"/>
    <w:rsid w:val="00934A32"/>
    <w:rsid w:val="00934EA2"/>
    <w:rsid w:val="00940614"/>
    <w:rsid w:val="00944A5C"/>
    <w:rsid w:val="00944E96"/>
    <w:rsid w:val="00950F5D"/>
    <w:rsid w:val="00952A66"/>
    <w:rsid w:val="00957670"/>
    <w:rsid w:val="00964E29"/>
    <w:rsid w:val="00987C1F"/>
    <w:rsid w:val="009C2FE8"/>
    <w:rsid w:val="009C3191"/>
    <w:rsid w:val="009C4F58"/>
    <w:rsid w:val="009C56E5"/>
    <w:rsid w:val="009D2946"/>
    <w:rsid w:val="009E461C"/>
    <w:rsid w:val="009E5FC8"/>
    <w:rsid w:val="009E687A"/>
    <w:rsid w:val="009F63E2"/>
    <w:rsid w:val="00A066F1"/>
    <w:rsid w:val="00A141AF"/>
    <w:rsid w:val="00A1464C"/>
    <w:rsid w:val="00A16D29"/>
    <w:rsid w:val="00A16FCA"/>
    <w:rsid w:val="00A30305"/>
    <w:rsid w:val="00A312EF"/>
    <w:rsid w:val="00A31D2D"/>
    <w:rsid w:val="00A4071B"/>
    <w:rsid w:val="00A4600A"/>
    <w:rsid w:val="00A52D56"/>
    <w:rsid w:val="00A538A6"/>
    <w:rsid w:val="00A54C25"/>
    <w:rsid w:val="00A710E7"/>
    <w:rsid w:val="00A7372E"/>
    <w:rsid w:val="00A76E35"/>
    <w:rsid w:val="00A811DC"/>
    <w:rsid w:val="00A90939"/>
    <w:rsid w:val="00A93B85"/>
    <w:rsid w:val="00A94A88"/>
    <w:rsid w:val="00AA0B18"/>
    <w:rsid w:val="00AA666F"/>
    <w:rsid w:val="00AB5A50"/>
    <w:rsid w:val="00AB7C5F"/>
    <w:rsid w:val="00B22B62"/>
    <w:rsid w:val="00B26AED"/>
    <w:rsid w:val="00B31EF6"/>
    <w:rsid w:val="00B41990"/>
    <w:rsid w:val="00B54621"/>
    <w:rsid w:val="00B639E9"/>
    <w:rsid w:val="00B67C03"/>
    <w:rsid w:val="00B817CD"/>
    <w:rsid w:val="00B9284B"/>
    <w:rsid w:val="00B94AD0"/>
    <w:rsid w:val="00BA5265"/>
    <w:rsid w:val="00BB3A95"/>
    <w:rsid w:val="00BB6D50"/>
    <w:rsid w:val="00BC669E"/>
    <w:rsid w:val="00BF3F06"/>
    <w:rsid w:val="00C0018F"/>
    <w:rsid w:val="00C16A5A"/>
    <w:rsid w:val="00C20466"/>
    <w:rsid w:val="00C214ED"/>
    <w:rsid w:val="00C234E6"/>
    <w:rsid w:val="00C26BA2"/>
    <w:rsid w:val="00C31E1C"/>
    <w:rsid w:val="00C324A8"/>
    <w:rsid w:val="00C44075"/>
    <w:rsid w:val="00C54517"/>
    <w:rsid w:val="00C64CD8"/>
    <w:rsid w:val="00C66FFB"/>
    <w:rsid w:val="00C72D1B"/>
    <w:rsid w:val="00C94561"/>
    <w:rsid w:val="00C97C68"/>
    <w:rsid w:val="00CA1A47"/>
    <w:rsid w:val="00CA7DA6"/>
    <w:rsid w:val="00CC247A"/>
    <w:rsid w:val="00CE36EA"/>
    <w:rsid w:val="00CE388F"/>
    <w:rsid w:val="00CE5E47"/>
    <w:rsid w:val="00CF020F"/>
    <w:rsid w:val="00CF1E9D"/>
    <w:rsid w:val="00CF2532"/>
    <w:rsid w:val="00CF2B5B"/>
    <w:rsid w:val="00CF3B6A"/>
    <w:rsid w:val="00CF7973"/>
    <w:rsid w:val="00D1177A"/>
    <w:rsid w:val="00D14CE0"/>
    <w:rsid w:val="00D300B0"/>
    <w:rsid w:val="00D54009"/>
    <w:rsid w:val="00D5651D"/>
    <w:rsid w:val="00D57A34"/>
    <w:rsid w:val="00D6112A"/>
    <w:rsid w:val="00D74898"/>
    <w:rsid w:val="00D801ED"/>
    <w:rsid w:val="00D936BC"/>
    <w:rsid w:val="00D96530"/>
    <w:rsid w:val="00DC52EC"/>
    <w:rsid w:val="00DD44AF"/>
    <w:rsid w:val="00DE2AC3"/>
    <w:rsid w:val="00DE5692"/>
    <w:rsid w:val="00E03C94"/>
    <w:rsid w:val="00E07AF5"/>
    <w:rsid w:val="00E11197"/>
    <w:rsid w:val="00E14E2A"/>
    <w:rsid w:val="00E26226"/>
    <w:rsid w:val="00E341B0"/>
    <w:rsid w:val="00E45D05"/>
    <w:rsid w:val="00E51A67"/>
    <w:rsid w:val="00E55816"/>
    <w:rsid w:val="00E55AEF"/>
    <w:rsid w:val="00E61D14"/>
    <w:rsid w:val="00E675A9"/>
    <w:rsid w:val="00E84ED7"/>
    <w:rsid w:val="00E917FD"/>
    <w:rsid w:val="00E976C1"/>
    <w:rsid w:val="00EA12E5"/>
    <w:rsid w:val="00EB55C6"/>
    <w:rsid w:val="00EC339D"/>
    <w:rsid w:val="00ED0308"/>
    <w:rsid w:val="00EE74F6"/>
    <w:rsid w:val="00EF2B09"/>
    <w:rsid w:val="00F02766"/>
    <w:rsid w:val="00F05BD4"/>
    <w:rsid w:val="00F05C49"/>
    <w:rsid w:val="00F0739F"/>
    <w:rsid w:val="00F6155B"/>
    <w:rsid w:val="00F65C19"/>
    <w:rsid w:val="00F7356B"/>
    <w:rsid w:val="00F776DF"/>
    <w:rsid w:val="00F840C7"/>
    <w:rsid w:val="00FA771F"/>
    <w:rsid w:val="00FD2546"/>
    <w:rsid w:val="00FD4485"/>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86F9D1"/>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locked/>
    <w:rsid w:val="002B60D4"/>
    <w:rPr>
      <w:rFonts w:ascii="Times New Roman" w:hAnsi="Times New Roman"/>
      <w:i/>
      <w:sz w:val="24"/>
      <w:lang w:val="en-GB" w:eastAsia="en-US"/>
    </w:rPr>
  </w:style>
  <w:style w:type="paragraph" w:styleId="Revision">
    <w:name w:val="Revision"/>
    <w:hidden/>
    <w:uiPriority w:val="99"/>
    <w:semiHidden/>
    <w:rsid w:val="00BC669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c59384a-836c-4c93-9af8-691a36ca93c5">DPM</DPM_x0020_Author>
    <DPM_x0020_File_x0020_name xmlns="fc59384a-836c-4c93-9af8-691a36ca93c5">T17-WTSA.20-C-0040!A18!MSW-F</DPM_x0020_File_x0020_name>
    <DPM_x0020_Version xmlns="fc59384a-836c-4c93-9af8-691a36ca93c5">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59384a-836c-4c93-9af8-691a36ca93c5" targetNamespace="http://schemas.microsoft.com/office/2006/metadata/properties" ma:root="true" ma:fieldsID="d41af5c836d734370eb92e7ee5f83852" ns2:_="" ns3:_="">
    <xsd:import namespace="996b2e75-67fd-4955-a3b0-5ab9934cb50b"/>
    <xsd:import namespace="fc59384a-836c-4c93-9af8-691a36ca93c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59384a-836c-4c93-9af8-691a36ca93c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fc59384a-836c-4c93-9af8-691a36ca93c5"/>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59384a-836c-4c93-9af8-691a36c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F23FF3-786B-4142-BF98-9A5752D6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1015</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T17-WTSA.20-C-0040!A18!MSW-F</vt:lpstr>
    </vt:vector>
  </TitlesOfParts>
  <Manager>General Secretariat - Pool</Manager>
  <Company>International Telecommunication Union (ITU)</Company>
  <LinksUpToDate>false</LinksUpToDate>
  <CharactersWithSpaces>7252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T17-WTSA.20-C-0040!A18!MSW-F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7</cp:revision>
  <cp:lastPrinted>2016-06-07T13:22:00Z</cp:lastPrinted>
  <dcterms:created xsi:type="dcterms:W3CDTF">2022-02-11T15:05:00Z</dcterms:created>
  <dcterms:modified xsi:type="dcterms:W3CDTF">2022-02-14T08:23:00Z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