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CA33E4" w14:paraId="3FB36E07" w14:textId="77777777" w:rsidTr="004037F2">
        <w:trPr>
          <w:cantSplit/>
        </w:trPr>
        <w:tc>
          <w:tcPr>
            <w:tcW w:w="6946" w:type="dxa"/>
          </w:tcPr>
          <w:p w14:paraId="0BB3EDCC" w14:textId="77777777" w:rsidR="004037F2" w:rsidRPr="00CA33E4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A33E4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CA33E4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CA33E4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CA33E4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CA33E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CA33E4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CA33E4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CA33E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CA33E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CA33E4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CA33E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CA33E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10B660FC" w14:textId="77777777" w:rsidR="004037F2" w:rsidRPr="00CA33E4" w:rsidRDefault="004037F2" w:rsidP="004037F2">
            <w:pPr>
              <w:spacing w:before="0" w:line="240" w:lineRule="atLeast"/>
            </w:pPr>
            <w:r w:rsidRPr="00CA33E4">
              <w:rPr>
                <w:lang w:eastAsia="zh-CN"/>
              </w:rPr>
              <w:drawing>
                <wp:inline distT="0" distB="0" distL="0" distR="0" wp14:anchorId="7AB3B1E5" wp14:editId="5ABC9FE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A33E4" w14:paraId="2720CCF8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6190CB26" w14:textId="77777777" w:rsidR="00D15F4D" w:rsidRPr="00CA33E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ACE4B06" w14:textId="77777777" w:rsidR="00D15F4D" w:rsidRPr="00CA33E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A33E4" w14:paraId="330BD740" w14:textId="77777777" w:rsidTr="00190D8B">
        <w:trPr>
          <w:cantSplit/>
        </w:trPr>
        <w:tc>
          <w:tcPr>
            <w:tcW w:w="6946" w:type="dxa"/>
          </w:tcPr>
          <w:p w14:paraId="30640AE1" w14:textId="77777777" w:rsidR="00E11080" w:rsidRPr="00CA33E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A33E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</w:tcPr>
          <w:p w14:paraId="090229D7" w14:textId="77777777" w:rsidR="00E11080" w:rsidRPr="00CA33E4" w:rsidRDefault="00E11080" w:rsidP="00662A60">
            <w:pPr>
              <w:pStyle w:val="DocNumber"/>
              <w:rPr>
                <w:lang w:val="ru-RU"/>
              </w:rPr>
            </w:pPr>
            <w:r w:rsidRPr="00CA33E4">
              <w:rPr>
                <w:lang w:val="ru-RU"/>
              </w:rPr>
              <w:t>Документ 40-R</w:t>
            </w:r>
          </w:p>
        </w:tc>
      </w:tr>
      <w:tr w:rsidR="00E11080" w:rsidRPr="00CA33E4" w14:paraId="1CB3988F" w14:textId="77777777" w:rsidTr="00190D8B">
        <w:trPr>
          <w:cantSplit/>
        </w:trPr>
        <w:tc>
          <w:tcPr>
            <w:tcW w:w="6946" w:type="dxa"/>
          </w:tcPr>
          <w:p w14:paraId="684D8A4A" w14:textId="6DEDA082" w:rsidR="00E11080" w:rsidRPr="00CA33E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01BF2323" w14:textId="77777777" w:rsidR="00E11080" w:rsidRPr="00CA33E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A33E4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CA33E4" w14:paraId="2885BCD7" w14:textId="77777777" w:rsidTr="00190D8B">
        <w:trPr>
          <w:cantSplit/>
        </w:trPr>
        <w:tc>
          <w:tcPr>
            <w:tcW w:w="6946" w:type="dxa"/>
          </w:tcPr>
          <w:p w14:paraId="30F06B30" w14:textId="77777777" w:rsidR="00E11080" w:rsidRPr="00CA33E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124CD4A0" w14:textId="77777777" w:rsidR="00E11080" w:rsidRPr="00CA33E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A33E4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CA33E4" w14:paraId="7C13BC62" w14:textId="77777777" w:rsidTr="00190D8B">
        <w:trPr>
          <w:cantSplit/>
        </w:trPr>
        <w:tc>
          <w:tcPr>
            <w:tcW w:w="9781" w:type="dxa"/>
            <w:gridSpan w:val="2"/>
          </w:tcPr>
          <w:p w14:paraId="2DAA5F38" w14:textId="77777777" w:rsidR="00E11080" w:rsidRPr="00CA33E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A33E4" w14:paraId="526D74EC" w14:textId="77777777" w:rsidTr="00190D8B">
        <w:trPr>
          <w:cantSplit/>
        </w:trPr>
        <w:tc>
          <w:tcPr>
            <w:tcW w:w="9781" w:type="dxa"/>
            <w:gridSpan w:val="2"/>
          </w:tcPr>
          <w:p w14:paraId="1C2F0207" w14:textId="1A93A952" w:rsidR="00E11080" w:rsidRPr="00CA33E4" w:rsidRDefault="00C7335D" w:rsidP="00190D8B">
            <w:pPr>
              <w:pStyle w:val="Source"/>
            </w:pPr>
            <w:r w:rsidRPr="00CA33E4"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CA33E4" w14:paraId="38E5EB3C" w14:textId="77777777" w:rsidTr="00190D8B">
        <w:trPr>
          <w:cantSplit/>
        </w:trPr>
        <w:tc>
          <w:tcPr>
            <w:tcW w:w="9781" w:type="dxa"/>
            <w:gridSpan w:val="2"/>
          </w:tcPr>
          <w:p w14:paraId="4C2B6C48" w14:textId="6ADD05A7" w:rsidR="00E11080" w:rsidRPr="00CA33E4" w:rsidRDefault="00C7335D" w:rsidP="00190D8B">
            <w:pPr>
              <w:pStyle w:val="Title1"/>
            </w:pPr>
            <w:r w:rsidRPr="00CA33E4">
              <w:rPr>
                <w:szCs w:val="26"/>
              </w:rPr>
              <w:t xml:space="preserve">общие </w:t>
            </w:r>
            <w:r w:rsidR="00E11080" w:rsidRPr="00CA33E4">
              <w:rPr>
                <w:szCs w:val="26"/>
              </w:rPr>
              <w:t xml:space="preserve">Предложения для работы </w:t>
            </w:r>
            <w:r w:rsidRPr="00CA33E4">
              <w:rPr>
                <w:szCs w:val="26"/>
              </w:rPr>
              <w:t>ассамблеи</w:t>
            </w:r>
          </w:p>
        </w:tc>
      </w:tr>
      <w:tr w:rsidR="00E11080" w:rsidRPr="00CA33E4" w14:paraId="7033BAAF" w14:textId="77777777" w:rsidTr="00190D8B">
        <w:trPr>
          <w:cantSplit/>
        </w:trPr>
        <w:tc>
          <w:tcPr>
            <w:tcW w:w="9781" w:type="dxa"/>
            <w:gridSpan w:val="2"/>
          </w:tcPr>
          <w:p w14:paraId="677E37E8" w14:textId="77777777" w:rsidR="00E11080" w:rsidRPr="00CA33E4" w:rsidRDefault="00E11080" w:rsidP="00190D8B">
            <w:pPr>
              <w:pStyle w:val="Title2"/>
            </w:pPr>
          </w:p>
        </w:tc>
      </w:tr>
      <w:tr w:rsidR="00E11080" w:rsidRPr="00CA33E4" w14:paraId="5ABDF861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B8DD200" w14:textId="77777777" w:rsidR="00E11080" w:rsidRPr="00CA33E4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D938120" w14:textId="77777777" w:rsidR="00CA33E4" w:rsidRPr="00CA33E4" w:rsidRDefault="00CA33E4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CA33E4" w:rsidRPr="00CA33E4" w14:paraId="285C0CB3" w14:textId="77777777" w:rsidTr="006B4AF0">
        <w:trPr>
          <w:cantSplit/>
          <w:trHeight w:val="709"/>
        </w:trPr>
        <w:tc>
          <w:tcPr>
            <w:tcW w:w="1912" w:type="dxa"/>
          </w:tcPr>
          <w:p w14:paraId="57A6282C" w14:textId="0BAC0907" w:rsidR="00CA33E4" w:rsidRPr="00CA33E4" w:rsidRDefault="00CA33E4" w:rsidP="006B4AF0">
            <w:r w:rsidRPr="00CA33E4">
              <w:rPr>
                <w:b/>
                <w:bCs/>
                <w:szCs w:val="22"/>
              </w:rPr>
              <w:t>Резюме</w:t>
            </w:r>
            <w:r w:rsidRPr="00CA33E4">
              <w:rPr>
                <w:szCs w:val="22"/>
              </w:rPr>
              <w:t>:</w:t>
            </w:r>
          </w:p>
        </w:tc>
        <w:sdt>
          <w:sdtPr>
            <w:rPr>
              <w:color w:val="000000" w:themeColor="text1"/>
              <w:szCs w:val="22"/>
            </w:rPr>
            <w:alias w:val="Abstract"/>
            <w:tag w:val="Abstract"/>
            <w:id w:val="-939903723"/>
            <w:placeholder>
              <w:docPart w:val="C03ED27FAA2C433B919BD585D472B70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7899" w:type="dxa"/>
              </w:tcPr>
              <w:p w14:paraId="1C5FF58E" w14:textId="25145007" w:rsidR="00CA33E4" w:rsidRPr="00CA33E4" w:rsidRDefault="00CA33E4" w:rsidP="006B4AF0">
                <w:r w:rsidRPr="00CA33E4">
                  <w:rPr>
                    <w:color w:val="000000" w:themeColor="text1"/>
                    <w:szCs w:val="22"/>
                  </w:rPr>
                  <w:t>Настоящий вклад представляет Общие предложения стран − членов РСС для ВАСЭ 20.</w:t>
                </w:r>
              </w:p>
            </w:tc>
          </w:sdtContent>
        </w:sdt>
      </w:tr>
    </w:tbl>
    <w:p w14:paraId="1C176333" w14:textId="77777777" w:rsidR="00C7335D" w:rsidRPr="00CA33E4" w:rsidRDefault="00C7335D" w:rsidP="00C7335D">
      <w:pPr>
        <w:pStyle w:val="Headingb"/>
        <w:rPr>
          <w:lang w:val="ru-RU" w:eastAsia="zh-CN"/>
        </w:rPr>
      </w:pPr>
      <w:r w:rsidRPr="00CA33E4">
        <w:rPr>
          <w:lang w:val="ru-RU"/>
        </w:rPr>
        <w:t>Введение</w:t>
      </w:r>
    </w:p>
    <w:p w14:paraId="484553CC" w14:textId="0AAEA7A8" w:rsidR="00C7335D" w:rsidRPr="00CA33E4" w:rsidRDefault="00C7335D" w:rsidP="00C7335D">
      <w:r w:rsidRPr="00CA33E4">
        <w:t xml:space="preserve">В рамках рассмотрения организации работы Сектора стандартизации электросвязи МСЭ (МСЭ-T) Государства – Члены МСЭ, </w:t>
      </w:r>
      <w:r w:rsidR="00CD2050" w:rsidRPr="00CA33E4">
        <w:t xml:space="preserve">администрации </w:t>
      </w:r>
      <w:r w:rsidRPr="00CA33E4">
        <w:t>связи (АС) которых являются членами Регионального содружества в области связи (РСС), предлагают следующие предложения по работе Всемирной ассамблеи по стандартизации электросвязи МСЭ 2022 года (ВАСЭ-20).</w:t>
      </w:r>
    </w:p>
    <w:p w14:paraId="26ACA2C3" w14:textId="77777777" w:rsidR="00C7335D" w:rsidRPr="00CA33E4" w:rsidRDefault="00C7335D" w:rsidP="00C7335D">
      <w:pPr>
        <w:spacing w:before="3240"/>
        <w:rPr>
          <w:lang w:eastAsia="zh-CN"/>
        </w:rPr>
      </w:pPr>
      <w:r w:rsidRPr="00CA33E4">
        <w:rPr>
          <w:b/>
          <w:bCs/>
          <w:lang w:eastAsia="zh-CN"/>
        </w:rPr>
        <w:t>Приложение</w:t>
      </w:r>
      <w:r w:rsidRPr="00CA33E4">
        <w:rPr>
          <w:lang w:eastAsia="zh-CN"/>
        </w:rPr>
        <w:t>: 1</w:t>
      </w:r>
    </w:p>
    <w:p w14:paraId="3C43BBA9" w14:textId="77777777" w:rsidR="0092220F" w:rsidRPr="00CA33E4" w:rsidRDefault="0092220F" w:rsidP="00612A80">
      <w:r w:rsidRPr="00CA33E4">
        <w:br w:type="page"/>
      </w:r>
    </w:p>
    <w:p w14:paraId="0D8321C8" w14:textId="2680F942" w:rsidR="005E1139" w:rsidRPr="00CA33E4" w:rsidRDefault="00C7335D" w:rsidP="00C7335D">
      <w:pPr>
        <w:pStyle w:val="AnnexNo"/>
      </w:pPr>
      <w:r w:rsidRPr="00CA33E4">
        <w:lastRenderedPageBreak/>
        <w:t>ПРИЛОЖЕНИЕ</w:t>
      </w:r>
    </w:p>
    <w:p w14:paraId="218A5B37" w14:textId="4AE3E311" w:rsidR="00C7335D" w:rsidRPr="00CA33E4" w:rsidRDefault="00C7335D" w:rsidP="00C7335D">
      <w:pPr>
        <w:pStyle w:val="Annextitle"/>
      </w:pPr>
      <w:r w:rsidRPr="00CA33E4">
        <w:t xml:space="preserve">Перечень стран </w:t>
      </w:r>
      <w:r w:rsidR="002A23C5" w:rsidRPr="00CA33E4">
        <w:t xml:space="preserve">− </w:t>
      </w:r>
      <w:r w:rsidRPr="00CA33E4">
        <w:t xml:space="preserve">участников Регионального содружества в области связи (РСС), поддерживающих </w:t>
      </w:r>
      <w:r w:rsidR="002A23C5" w:rsidRPr="00CA33E4">
        <w:t xml:space="preserve">общие </w:t>
      </w:r>
      <w:r w:rsidRPr="00CA33E4">
        <w:t>предложения по работе ВАСЭ-20</w:t>
      </w:r>
    </w:p>
    <w:tbl>
      <w:tblPr>
        <w:tblStyle w:val="TableGrid"/>
        <w:tblW w:w="93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5786"/>
        <w:gridCol w:w="2152"/>
      </w:tblGrid>
      <w:tr w:rsidR="00C7335D" w:rsidRPr="00CA33E4" w14:paraId="5A6FF4E9" w14:textId="77777777" w:rsidTr="00CD2050">
        <w:trPr>
          <w:cantSplit/>
          <w:trHeight w:val="358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C73F" w14:textId="728F4791" w:rsidR="00C7335D" w:rsidRPr="00CA33E4" w:rsidRDefault="00C7335D" w:rsidP="00CD2050">
            <w:pPr>
              <w:pStyle w:val="Tablehead"/>
              <w:rPr>
                <w:rFonts w:ascii="Times New Roman" w:hAnsi="Times New Roman"/>
                <w:szCs w:val="20"/>
                <w:lang w:val="ru-RU"/>
              </w:rPr>
            </w:pPr>
            <w:r w:rsidRPr="00CA33E4">
              <w:rPr>
                <w:szCs w:val="20"/>
                <w:lang w:val="ru-RU"/>
              </w:rPr>
              <w:t>№ РСС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90EE" w14:textId="5F7E026B" w:rsidR="00C7335D" w:rsidRPr="00CA33E4" w:rsidRDefault="00C7335D" w:rsidP="00C7335D">
            <w:pPr>
              <w:pStyle w:val="Tablehead"/>
              <w:rPr>
                <w:rFonts w:ascii="Times New Roman" w:hAnsi="Times New Roman"/>
                <w:szCs w:val="20"/>
                <w:lang w:val="ru-RU"/>
              </w:rPr>
            </w:pPr>
            <w:r w:rsidRPr="00CA33E4">
              <w:rPr>
                <w:szCs w:val="20"/>
                <w:lang w:val="ru-RU"/>
              </w:rPr>
              <w:t>Название предложения РСС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F4DA84" w14:textId="77777777" w:rsidR="00C7335D" w:rsidRPr="00CA33E4" w:rsidRDefault="00C7335D" w:rsidP="00C7335D">
            <w:pPr>
              <w:pStyle w:val="Tablehead"/>
              <w:rPr>
                <w:rFonts w:ascii="Times New Roman" w:hAnsi="Times New Roman"/>
                <w:szCs w:val="20"/>
                <w:lang w:val="ru-RU"/>
              </w:rPr>
            </w:pPr>
          </w:p>
        </w:tc>
      </w:tr>
      <w:tr w:rsidR="00C7335D" w:rsidRPr="00CA33E4" w14:paraId="35F5A096" w14:textId="77777777" w:rsidTr="00CD2050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6B42" w14:textId="15D7397B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89EF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Исключение Резолюции 35</w:t>
            </w:r>
          </w:p>
          <w:p w14:paraId="3DE67030" w14:textId="1C9DB0A3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BD86" w14:textId="5FD8B16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Правила и процедуры</w:t>
            </w:r>
          </w:p>
        </w:tc>
      </w:tr>
      <w:tr w:rsidR="00C7335D" w:rsidRPr="00CA33E4" w14:paraId="26BA86D1" w14:textId="77777777" w:rsidTr="00CD2050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6B57" w14:textId="6F5AD9B4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C212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43</w:t>
            </w:r>
          </w:p>
          <w:p w14:paraId="700A01BB" w14:textId="3BEE4F80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</w:t>
            </w:r>
            <w:bookmarkStart w:id="0" w:name="_Toc349120780"/>
            <w:r w:rsidRPr="00CA33E4">
              <w:rPr>
                <w:szCs w:val="20"/>
              </w:rPr>
              <w:t>Региональные мероприятия по подготовке к Всемирной ассамблее по стандартизации электросвязи</w:t>
            </w:r>
            <w:bookmarkEnd w:id="0"/>
            <w:r w:rsidRPr="00CA33E4">
              <w:rPr>
                <w:szCs w:val="20"/>
              </w:rPr>
              <w:t>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50EE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Административные</w:t>
            </w:r>
          </w:p>
        </w:tc>
      </w:tr>
      <w:tr w:rsidR="00C7335D" w:rsidRPr="00CA33E4" w14:paraId="2E6EC122" w14:textId="77777777" w:rsidTr="00CD2050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B6EC" w14:textId="1E197E7E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6204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67</w:t>
            </w:r>
          </w:p>
          <w:p w14:paraId="617CE49B" w14:textId="204F68FA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"Использование в Секторе стандартизации электросвязи МСЭ языков Союза на равной основе"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EE25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Административные</w:t>
            </w:r>
          </w:p>
        </w:tc>
      </w:tr>
      <w:tr w:rsidR="00C7335D" w:rsidRPr="00CA33E4" w14:paraId="628CA076" w14:textId="77777777" w:rsidTr="00CD2050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F7F6" w14:textId="43C55669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8490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75</w:t>
            </w:r>
          </w:p>
          <w:p w14:paraId="76F66D3D" w14:textId="07D2FB13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szCs w:val="20"/>
              </w:rPr>
              <w:t>"Вклад Сектора стандартизации электросвязи МСЭ в выполнение решений Всемирной встречи на высшем уровне по вопросам информационного общества и Повестки дня в области устойчивого развития на период до 2030 года"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B0B3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Общие</w:t>
            </w:r>
          </w:p>
        </w:tc>
      </w:tr>
      <w:tr w:rsidR="00C7335D" w:rsidRPr="00CA33E4" w14:paraId="6CCCC21C" w14:textId="77777777" w:rsidTr="00CD2050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BC1D" w14:textId="1EEF88D5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77EF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1</w:t>
            </w:r>
          </w:p>
          <w:p w14:paraId="6EC2C5AB" w14:textId="6AFB0FDB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"Правила процедуры Сектора стандартизации электросвязи МСЭ"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13A7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Правила и процедуры</w:t>
            </w:r>
          </w:p>
        </w:tc>
      </w:tr>
      <w:tr w:rsidR="00C7335D" w:rsidRPr="00CA33E4" w14:paraId="3FA5EF80" w14:textId="77777777" w:rsidTr="00CD2050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A137" w14:textId="1D7691A1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63F7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18</w:t>
            </w:r>
          </w:p>
          <w:p w14:paraId="0CBFE249" w14:textId="666DCFC6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BF0C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Сотрудничество и координация</w:t>
            </w:r>
          </w:p>
        </w:tc>
      </w:tr>
      <w:tr w:rsidR="00C7335D" w:rsidRPr="00CA33E4" w14:paraId="6B7D282E" w14:textId="77777777" w:rsidTr="00CD2050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C78E" w14:textId="3370505E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8C6A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44</w:t>
            </w:r>
          </w:p>
          <w:p w14:paraId="5964CC0C" w14:textId="63370DFF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"Преодоление разрыва в стандартизации между развивающимися и развитыми странами"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C6D9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Общие</w:t>
            </w:r>
          </w:p>
        </w:tc>
      </w:tr>
      <w:tr w:rsidR="00C7335D" w:rsidRPr="00CA33E4" w14:paraId="76554901" w14:textId="77777777" w:rsidTr="00CD2050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5323" w14:textId="46F5748F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8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4B3F" w14:textId="77777777" w:rsidR="00C7335D" w:rsidRPr="00CA33E4" w:rsidRDefault="00C7335D" w:rsidP="00C7335D">
            <w:pPr>
              <w:pStyle w:val="Tabletext"/>
              <w:rPr>
                <w:b/>
                <w:color w:val="000000" w:themeColor="text1"/>
                <w:w w:val="105"/>
                <w:szCs w:val="20"/>
              </w:rPr>
            </w:pPr>
            <w:r w:rsidRPr="00CA33E4">
              <w:rPr>
                <w:b/>
                <w:color w:val="000000" w:themeColor="text1"/>
                <w:w w:val="105"/>
                <w:szCs w:val="20"/>
              </w:rPr>
              <w:t>Пересмотр Резолюции 50</w:t>
            </w:r>
          </w:p>
          <w:p w14:paraId="4F206815" w14:textId="54504045" w:rsidR="00C7335D" w:rsidRPr="00CA33E4" w:rsidRDefault="00C7335D" w:rsidP="00C7335D">
            <w:pPr>
              <w:pStyle w:val="Tabletext"/>
              <w:rPr>
                <w:color w:val="000000" w:themeColor="text1"/>
                <w:w w:val="105"/>
                <w:szCs w:val="20"/>
              </w:rPr>
            </w:pPr>
            <w:r w:rsidRPr="00CA33E4">
              <w:rPr>
                <w:color w:val="000000" w:themeColor="text1"/>
                <w:w w:val="105"/>
                <w:szCs w:val="20"/>
              </w:rPr>
              <w:t>"Кибербезопасность"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D050" w14:textId="171AA326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Тематические</w:t>
            </w:r>
          </w:p>
        </w:tc>
      </w:tr>
      <w:tr w:rsidR="00C7335D" w:rsidRPr="00CA33E4" w14:paraId="65E9E564" w14:textId="77777777" w:rsidTr="00CD2050">
        <w:trPr>
          <w:trHeight w:val="5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9131" w14:textId="45EBA0C3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9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D8F2" w14:textId="77777777" w:rsidR="00C7335D" w:rsidRPr="00CA33E4" w:rsidRDefault="00C7335D" w:rsidP="00C7335D">
            <w:pPr>
              <w:pStyle w:val="Tabletext"/>
              <w:rPr>
                <w:b/>
                <w:color w:val="000000" w:themeColor="text1"/>
                <w:w w:val="105"/>
                <w:szCs w:val="20"/>
              </w:rPr>
            </w:pPr>
            <w:r w:rsidRPr="00CA33E4">
              <w:rPr>
                <w:b/>
                <w:color w:val="000000" w:themeColor="text1"/>
                <w:w w:val="105"/>
                <w:szCs w:val="20"/>
              </w:rPr>
              <w:t>Пересмотр Резолюции 52</w:t>
            </w:r>
          </w:p>
          <w:p w14:paraId="5EB39514" w14:textId="66094E09" w:rsidR="00C7335D" w:rsidRPr="00CA33E4" w:rsidRDefault="00C7335D" w:rsidP="00C7335D">
            <w:pPr>
              <w:pStyle w:val="Tabletext"/>
              <w:rPr>
                <w:color w:val="000000" w:themeColor="text1"/>
                <w:w w:val="105"/>
                <w:szCs w:val="20"/>
              </w:rPr>
            </w:pPr>
            <w:r w:rsidRPr="00CA33E4">
              <w:rPr>
                <w:color w:val="000000" w:themeColor="text1"/>
                <w:w w:val="105"/>
                <w:szCs w:val="20"/>
              </w:rPr>
              <w:t>"Противодействие распространению спама и борьба со</w:t>
            </w:r>
            <w:r w:rsidRPr="00CA33E4">
              <w:rPr>
                <w:color w:val="000000" w:themeColor="text1"/>
                <w:spacing w:val="50"/>
                <w:w w:val="105"/>
                <w:szCs w:val="20"/>
              </w:rPr>
              <w:t xml:space="preserve"> </w:t>
            </w:r>
            <w:r w:rsidRPr="00CA33E4">
              <w:rPr>
                <w:color w:val="000000" w:themeColor="text1"/>
                <w:w w:val="105"/>
                <w:szCs w:val="20"/>
              </w:rPr>
              <w:t>спамом"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FFF3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Тематические</w:t>
            </w:r>
          </w:p>
        </w:tc>
      </w:tr>
      <w:tr w:rsidR="00C7335D" w:rsidRPr="00CA33E4" w14:paraId="2FD4F0EE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1E8B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10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A5F2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54</w:t>
            </w:r>
          </w:p>
          <w:p w14:paraId="2A2CFA86" w14:textId="045908EA" w:rsidR="00C7335D" w:rsidRPr="00CA33E4" w:rsidRDefault="00C7335D" w:rsidP="00C7335D">
            <w:pPr>
              <w:pStyle w:val="Tabletext"/>
              <w:rPr>
                <w:color w:val="000000" w:themeColor="text1"/>
                <w:w w:val="105"/>
                <w:szCs w:val="20"/>
              </w:rPr>
            </w:pPr>
            <w:r w:rsidRPr="00CA33E4">
              <w:rPr>
                <w:szCs w:val="20"/>
              </w:rPr>
              <w:t>"Создание региональных групп и оказание им помощи"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B6B5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Правила и процедуры</w:t>
            </w:r>
          </w:p>
        </w:tc>
      </w:tr>
      <w:tr w:rsidR="00C7335D" w:rsidRPr="00CA33E4" w14:paraId="5627A800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B6A0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11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BA4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70</w:t>
            </w:r>
          </w:p>
          <w:p w14:paraId="2C3BC8F1" w14:textId="307FF61F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"Доступность средств электросвязи/информационно-коммуникационных технологий для лиц с ограниченными возможностями и лиц с особыми потребностями"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9F65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Общие</w:t>
            </w:r>
          </w:p>
        </w:tc>
      </w:tr>
      <w:tr w:rsidR="00C7335D" w:rsidRPr="00CA33E4" w14:paraId="39D2154A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FEB0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12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74FD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72</w:t>
            </w:r>
          </w:p>
          <w:p w14:paraId="4413D996" w14:textId="1CE987D3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"Важность измерений и оценки, связанных с воздействием электромагнитных полей на человека"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3ADD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Тематические</w:t>
            </w:r>
          </w:p>
        </w:tc>
      </w:tr>
      <w:tr w:rsidR="00C7335D" w:rsidRPr="00CA33E4" w14:paraId="4983C5B0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8C07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13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C1B6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73</w:t>
            </w:r>
          </w:p>
          <w:p w14:paraId="52FB1C70" w14:textId="632CAEDB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"Информационно-коммуникационные технологии, окружающая среда и изменение климата"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CCCF" w14:textId="77777777" w:rsidR="00C7335D" w:rsidRPr="00CA33E4" w:rsidRDefault="00C7335D" w:rsidP="00CD2050">
            <w:pPr>
              <w:pStyle w:val="Tabletext"/>
              <w:jc w:val="center"/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</w:pPr>
            <w:r w:rsidRPr="00CA33E4">
              <w:rPr>
                <w:szCs w:val="20"/>
              </w:rPr>
              <w:t>Тематические</w:t>
            </w:r>
          </w:p>
        </w:tc>
      </w:tr>
      <w:tr w:rsidR="00C7335D" w:rsidRPr="00CA33E4" w14:paraId="27489FE1" w14:textId="77777777" w:rsidTr="00CD2050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DC62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lastRenderedPageBreak/>
              <w:t>14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8793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87</w:t>
            </w:r>
          </w:p>
          <w:p w14:paraId="16DFE26E" w14:textId="734E81CB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szCs w:val="20"/>
              </w:rPr>
              <w:t>"Участие Сектора стандартизации электросвязи МСЭ в регулярном рассмотрении и пересмотре Регламента международной электросвязи"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4924" w14:textId="77777777" w:rsidR="00C7335D" w:rsidRPr="00CA33E4" w:rsidRDefault="00C7335D" w:rsidP="00CD2050">
            <w:pPr>
              <w:pStyle w:val="Tabletext"/>
              <w:jc w:val="center"/>
              <w:rPr>
                <w:rFonts w:ascii="Arial" w:hAnsi="Arial" w:cs="Arial"/>
                <w:color w:val="202124"/>
                <w:szCs w:val="20"/>
                <w:shd w:val="clear" w:color="auto" w:fill="FFFFFF"/>
              </w:rPr>
            </w:pPr>
            <w:r w:rsidRPr="00CA33E4">
              <w:rPr>
                <w:szCs w:val="20"/>
              </w:rPr>
              <w:t>Общие</w:t>
            </w:r>
          </w:p>
        </w:tc>
      </w:tr>
      <w:tr w:rsidR="00C7335D" w:rsidRPr="00CA33E4" w14:paraId="7833136F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3E40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15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E9F9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 xml:space="preserve">Пересмотр Резолюции 90 </w:t>
            </w:r>
          </w:p>
          <w:p w14:paraId="3FF6F5A9" w14:textId="29D5F74C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"Открытый исходный код в Секторе стандартизации электросвязи МСЭ"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2625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Тематические</w:t>
            </w:r>
          </w:p>
        </w:tc>
      </w:tr>
      <w:tr w:rsidR="00C7335D" w:rsidRPr="00CA33E4" w14:paraId="2C1EB28F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79CB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16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3B56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92</w:t>
            </w:r>
          </w:p>
          <w:p w14:paraId="5C0F1CDF" w14:textId="23B35834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6D8E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Тематические</w:t>
            </w:r>
          </w:p>
        </w:tc>
      </w:tr>
      <w:tr w:rsidR="00C7335D" w:rsidRPr="00CA33E4" w14:paraId="069406F2" w14:textId="77777777" w:rsidTr="00CD2050">
        <w:trPr>
          <w:trHeight w:val="76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E6DA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17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F6F0" w14:textId="7196876A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b/>
                <w:szCs w:val="20"/>
              </w:rPr>
              <w:t xml:space="preserve">Предложения по вопросам оптимизации и реструктуризации работы </w:t>
            </w:r>
            <w:r w:rsidR="002A23C5" w:rsidRPr="00CA33E4">
              <w:rPr>
                <w:b/>
                <w:szCs w:val="20"/>
              </w:rPr>
              <w:t xml:space="preserve">исследовательских </w:t>
            </w:r>
            <w:r w:rsidRPr="00CA33E4">
              <w:rPr>
                <w:b/>
                <w:szCs w:val="20"/>
              </w:rPr>
              <w:t>комиссий МСЭ-Т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2271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Административные</w:t>
            </w:r>
          </w:p>
        </w:tc>
      </w:tr>
      <w:tr w:rsidR="00C7335D" w:rsidRPr="00CA33E4" w14:paraId="5C1835FB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26BC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18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FCAC" w14:textId="2328049E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Проект новой Резолюции</w:t>
            </w:r>
          </w:p>
          <w:p w14:paraId="560F2E6C" w14:textId="77777777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 xml:space="preserve">по использованию шестнадцатеричной нумерации для определения </w:t>
            </w:r>
            <w:proofErr w:type="spellStart"/>
            <w:r w:rsidRPr="00CA33E4">
              <w:rPr>
                <w:szCs w:val="20"/>
              </w:rPr>
              <w:t>MSISDN</w:t>
            </w:r>
            <w:proofErr w:type="spellEnd"/>
            <w:r w:rsidRPr="00CA33E4">
              <w:rPr>
                <w:szCs w:val="20"/>
              </w:rPr>
              <w:t xml:space="preserve"> и </w:t>
            </w:r>
            <w:proofErr w:type="spellStart"/>
            <w:r w:rsidRPr="00CA33E4">
              <w:rPr>
                <w:szCs w:val="20"/>
              </w:rPr>
              <w:t>IMSI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BA35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Тематические</w:t>
            </w:r>
          </w:p>
        </w:tc>
      </w:tr>
      <w:tr w:rsidR="00C7335D" w:rsidRPr="00CA33E4" w14:paraId="42135710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B6E7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19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71CB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Рекомендации</w:t>
            </w:r>
            <w:r w:rsidRPr="00CA33E4">
              <w:rPr>
                <w:szCs w:val="20"/>
              </w:rPr>
              <w:t xml:space="preserve"> </w:t>
            </w:r>
            <w:r w:rsidRPr="00CA33E4">
              <w:rPr>
                <w:b/>
                <w:szCs w:val="20"/>
              </w:rPr>
              <w:t xml:space="preserve">МСЭ-T </w:t>
            </w:r>
            <w:proofErr w:type="spellStart"/>
            <w:r w:rsidRPr="00CA33E4">
              <w:rPr>
                <w:b/>
                <w:szCs w:val="20"/>
              </w:rPr>
              <w:t>A.1</w:t>
            </w:r>
            <w:proofErr w:type="spellEnd"/>
          </w:p>
          <w:p w14:paraId="4C8E4339" w14:textId="17478073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szCs w:val="20"/>
              </w:rPr>
              <w:t>"Методы работы исследовательских комиссий Сектора стандартизации электросвязи МСЭ"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D0AE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Правила и процедуры</w:t>
            </w:r>
          </w:p>
        </w:tc>
      </w:tr>
      <w:tr w:rsidR="00C7335D" w:rsidRPr="00CA33E4" w14:paraId="1F189868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CEF6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20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9E84" w14:textId="2966FE8D" w:rsidR="00C7335D" w:rsidRPr="00CA33E4" w:rsidRDefault="002A23C5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</w:t>
            </w:r>
            <w:r w:rsidR="00C7335D" w:rsidRPr="00CA33E4">
              <w:rPr>
                <w:b/>
                <w:szCs w:val="20"/>
              </w:rPr>
              <w:t xml:space="preserve"> Резолюции 65 </w:t>
            </w:r>
          </w:p>
          <w:p w14:paraId="7FD4FE33" w14:textId="76C08608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szCs w:val="20"/>
              </w:rPr>
              <w:t>"Информация о доставке номера вызывающего абонента, идентификации линии вызывающего абонента и идентификации происхождения"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D8F9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Тематические</w:t>
            </w:r>
          </w:p>
        </w:tc>
      </w:tr>
      <w:tr w:rsidR="00C7335D" w:rsidRPr="00CA33E4" w14:paraId="054785B8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A05B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21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7CFB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76</w:t>
            </w:r>
          </w:p>
          <w:p w14:paraId="51BE6C52" w14:textId="657B19FD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560A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Тематические</w:t>
            </w:r>
          </w:p>
        </w:tc>
      </w:tr>
      <w:tr w:rsidR="00C7335D" w:rsidRPr="00CA33E4" w14:paraId="7A721B32" w14:textId="77777777" w:rsidTr="00CD2050">
        <w:trPr>
          <w:trHeight w:val="6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8D48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22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C7CB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34</w:t>
            </w:r>
          </w:p>
          <w:p w14:paraId="55FE78E8" w14:textId="3D5A1BE5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szCs w:val="20"/>
              </w:rPr>
              <w:t>"Добровольные взносы"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509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Административные</w:t>
            </w:r>
          </w:p>
        </w:tc>
      </w:tr>
      <w:tr w:rsidR="00C7335D" w:rsidRPr="00CA33E4" w14:paraId="2016EB7A" w14:textId="77777777" w:rsidTr="00CD2050">
        <w:trPr>
          <w:trHeight w:val="6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3E76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23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DA8F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32</w:t>
            </w:r>
          </w:p>
          <w:p w14:paraId="69EF616F" w14:textId="50EAC5F8" w:rsidR="00C7335D" w:rsidRPr="00CA33E4" w:rsidRDefault="00C7335D" w:rsidP="00C7335D">
            <w:pPr>
              <w:pStyle w:val="Tabletext"/>
              <w:rPr>
                <w:color w:val="000000" w:themeColor="text1"/>
                <w:w w:val="105"/>
                <w:szCs w:val="20"/>
              </w:rPr>
            </w:pPr>
            <w:r w:rsidRPr="00CA33E4">
              <w:rPr>
                <w:szCs w:val="20"/>
              </w:rPr>
              <w:t>"Упрочение электронных методов работы в деятельности Сектора стандартизации электросвязи МСЭ"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D617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Административные</w:t>
            </w:r>
          </w:p>
        </w:tc>
      </w:tr>
      <w:tr w:rsidR="00C7335D" w:rsidRPr="00CA33E4" w14:paraId="2A620CA8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66DC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24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E0F7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7</w:t>
            </w:r>
          </w:p>
          <w:p w14:paraId="6D950B71" w14:textId="3E4315A1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"Сотрудничество с Международной организацией по стандартизации и Международной электротехнической комиссией"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D23C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Сотрудничество и координация</w:t>
            </w:r>
          </w:p>
        </w:tc>
      </w:tr>
      <w:tr w:rsidR="00C7335D" w:rsidRPr="00CA33E4" w14:paraId="3AD99F1B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601A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25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7B78" w14:textId="16E08D87" w:rsidR="00C7335D" w:rsidRPr="00CA33E4" w:rsidRDefault="00C7335D" w:rsidP="00C7335D">
            <w:pPr>
              <w:pStyle w:val="Tabletext"/>
              <w:rPr>
                <w:b/>
                <w:color w:val="000000" w:themeColor="text1"/>
                <w:w w:val="105"/>
                <w:szCs w:val="20"/>
              </w:rPr>
            </w:pPr>
            <w:r w:rsidRPr="00CA33E4">
              <w:rPr>
                <w:b/>
                <w:color w:val="000000" w:themeColor="text1"/>
                <w:w w:val="105"/>
                <w:szCs w:val="20"/>
              </w:rPr>
              <w:t xml:space="preserve">Пересмотр Рекомендации МСЭ-Т </w:t>
            </w:r>
            <w:proofErr w:type="spellStart"/>
            <w:r w:rsidRPr="00CA33E4">
              <w:rPr>
                <w:b/>
                <w:color w:val="000000" w:themeColor="text1"/>
                <w:w w:val="105"/>
                <w:szCs w:val="20"/>
              </w:rPr>
              <w:t>А.5</w:t>
            </w:r>
            <w:proofErr w:type="spellEnd"/>
          </w:p>
          <w:p w14:paraId="16408303" w14:textId="0644348C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color w:val="000000" w:themeColor="text1"/>
                <w:w w:val="105"/>
                <w:szCs w:val="20"/>
              </w:rPr>
              <w:t>"Обобщенные процедуры включения ссылок на документы других организаций в Рекомендации МСЭ-Т"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CA74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Правила и процедуры</w:t>
            </w:r>
          </w:p>
        </w:tc>
      </w:tr>
      <w:tr w:rsidR="00C7335D" w:rsidRPr="00CA33E4" w14:paraId="027255D9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95EA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26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1A4E" w14:textId="7D565C0B" w:rsidR="00C7335D" w:rsidRPr="00CA33E4" w:rsidRDefault="00C7335D" w:rsidP="00C7335D">
            <w:pPr>
              <w:pStyle w:val="Tabletext"/>
              <w:rPr>
                <w:color w:val="000000" w:themeColor="text1"/>
                <w:w w:val="105"/>
                <w:szCs w:val="20"/>
              </w:rPr>
            </w:pPr>
            <w:r w:rsidRPr="00CA33E4">
              <w:rPr>
                <w:b/>
                <w:color w:val="000000" w:themeColor="text1"/>
                <w:w w:val="105"/>
                <w:szCs w:val="20"/>
              </w:rPr>
              <w:t xml:space="preserve">Пересмотр Рекомендации МСЭ-Т </w:t>
            </w:r>
            <w:proofErr w:type="spellStart"/>
            <w:r w:rsidRPr="00CA33E4">
              <w:rPr>
                <w:b/>
                <w:color w:val="000000" w:themeColor="text1"/>
                <w:w w:val="105"/>
                <w:szCs w:val="20"/>
              </w:rPr>
              <w:t>А.25</w:t>
            </w:r>
            <w:proofErr w:type="spellEnd"/>
          </w:p>
          <w:p w14:paraId="2B331C8C" w14:textId="0A3FC637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color w:val="000000" w:themeColor="text1"/>
                <w:w w:val="105"/>
                <w:szCs w:val="20"/>
              </w:rPr>
              <w:t>"Обобщенные процедуры включения текста в документы МСЭ-Т и других организаций"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E439" w14:textId="4128411E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Прав и проц</w:t>
            </w:r>
            <w:r w:rsidR="00CD2050" w:rsidRPr="00CA33E4">
              <w:rPr>
                <w:szCs w:val="20"/>
              </w:rPr>
              <w:t>едуры</w:t>
            </w:r>
            <w:r w:rsidRPr="00CA33E4">
              <w:rPr>
                <w:szCs w:val="20"/>
              </w:rPr>
              <w:t>/</w:t>
            </w:r>
            <w:r w:rsidR="00CD2050" w:rsidRPr="00CA33E4">
              <w:rPr>
                <w:szCs w:val="20"/>
              </w:rPr>
              <w:br/>
              <w:t>сотрудничество и координация</w:t>
            </w:r>
          </w:p>
        </w:tc>
      </w:tr>
      <w:tr w:rsidR="00C7335D" w:rsidRPr="00CA33E4" w14:paraId="1CD6C312" w14:textId="77777777" w:rsidTr="00CD2050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11F6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lastRenderedPageBreak/>
              <w:t>27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0A0B" w14:textId="77777777" w:rsidR="00C7335D" w:rsidRPr="00CA33E4" w:rsidRDefault="00C7335D" w:rsidP="00C7335D">
            <w:pPr>
              <w:pStyle w:val="Tabletext"/>
              <w:rPr>
                <w:bCs/>
                <w:szCs w:val="20"/>
              </w:rPr>
            </w:pPr>
            <w:r w:rsidRPr="00CA33E4">
              <w:rPr>
                <w:b/>
                <w:szCs w:val="20"/>
              </w:rPr>
              <w:t>Предложения по сохранению (</w:t>
            </w:r>
            <w:proofErr w:type="spellStart"/>
            <w:r w:rsidRPr="00CA33E4">
              <w:rPr>
                <w:b/>
                <w:szCs w:val="20"/>
              </w:rPr>
              <w:t>NOC</w:t>
            </w:r>
            <w:proofErr w:type="spellEnd"/>
            <w:r w:rsidRPr="00CA33E4">
              <w:rPr>
                <w:b/>
                <w:szCs w:val="20"/>
              </w:rPr>
              <w:t>) некоторых Резолюций ВАСЭ и Рекомендаций МСЭ-Т</w:t>
            </w:r>
            <w:r w:rsidRPr="00CA33E4">
              <w:rPr>
                <w:bCs/>
                <w:szCs w:val="20"/>
              </w:rPr>
              <w:t>:</w:t>
            </w:r>
          </w:p>
          <w:p w14:paraId="53884CB1" w14:textId="77777777" w:rsidR="00C7335D" w:rsidRPr="00CA33E4" w:rsidRDefault="00C7335D" w:rsidP="00C7335D">
            <w:pPr>
              <w:pStyle w:val="Tabletext"/>
              <w:rPr>
                <w:bCs/>
                <w:szCs w:val="20"/>
              </w:rPr>
            </w:pPr>
            <w:r w:rsidRPr="00CA33E4">
              <w:rPr>
                <w:bCs/>
                <w:szCs w:val="20"/>
              </w:rPr>
              <w:t>(перечень представлен ниже)</w:t>
            </w:r>
          </w:p>
          <w:p w14:paraId="2EF31684" w14:textId="6B752982" w:rsidR="00C7335D" w:rsidRPr="00CA33E4" w:rsidRDefault="00C7335D" w:rsidP="00C7335D">
            <w:pPr>
              <w:pStyle w:val="Tabletext"/>
              <w:rPr>
                <w:bCs/>
                <w:szCs w:val="20"/>
              </w:rPr>
            </w:pPr>
            <w:r w:rsidRPr="00CA33E4">
              <w:rPr>
                <w:b/>
                <w:szCs w:val="20"/>
              </w:rPr>
              <w:t>Резолюция 29</w:t>
            </w:r>
            <w:r w:rsidRPr="00CA33E4">
              <w:rPr>
                <w:bCs/>
                <w:szCs w:val="20"/>
              </w:rPr>
              <w:t xml:space="preserve"> "</w:t>
            </w:r>
            <w:bookmarkStart w:id="1" w:name="_Toc478376745"/>
            <w:bookmarkStart w:id="2" w:name="_Toc476828203"/>
            <w:bookmarkStart w:id="3" w:name="_Toc349120772"/>
            <w:r w:rsidRPr="00CA33E4">
              <w:rPr>
                <w:bCs/>
                <w:szCs w:val="20"/>
              </w:rPr>
              <w:t>Альтернативные процедуры вызова в международных сетях электросвязи</w:t>
            </w:r>
            <w:bookmarkEnd w:id="1"/>
            <w:bookmarkEnd w:id="2"/>
            <w:bookmarkEnd w:id="3"/>
            <w:r w:rsidRPr="00CA33E4">
              <w:rPr>
                <w:bCs/>
                <w:szCs w:val="20"/>
              </w:rPr>
              <w:t>"</w:t>
            </w:r>
          </w:p>
          <w:p w14:paraId="3EB3953A" w14:textId="3A74700E" w:rsidR="00C7335D" w:rsidRPr="00CA33E4" w:rsidRDefault="00C7335D" w:rsidP="00C7335D">
            <w:pPr>
              <w:pStyle w:val="Tabletext"/>
              <w:rPr>
                <w:bCs/>
                <w:szCs w:val="20"/>
              </w:rPr>
            </w:pPr>
            <w:r w:rsidRPr="00CA33E4">
              <w:rPr>
                <w:b/>
                <w:szCs w:val="20"/>
              </w:rPr>
              <w:t>Резолюция 59</w:t>
            </w:r>
            <w:r w:rsidRPr="00CA33E4">
              <w:rPr>
                <w:bCs/>
                <w:szCs w:val="20"/>
              </w:rPr>
              <w:t xml:space="preserve"> "Расширение участия операторов электросвязи из развивающихся стран"</w:t>
            </w:r>
          </w:p>
          <w:p w14:paraId="0A70B2A8" w14:textId="129ADBCD" w:rsidR="00C7335D" w:rsidRPr="00CA33E4" w:rsidRDefault="00C7335D" w:rsidP="00C7335D">
            <w:pPr>
              <w:pStyle w:val="Tabletext"/>
              <w:rPr>
                <w:bCs/>
                <w:szCs w:val="20"/>
              </w:rPr>
            </w:pPr>
            <w:r w:rsidRPr="00CA33E4">
              <w:rPr>
                <w:b/>
                <w:szCs w:val="20"/>
              </w:rPr>
              <w:t>Резолюция 68</w:t>
            </w:r>
            <w:r w:rsidRPr="00CA33E4">
              <w:rPr>
                <w:bCs/>
                <w:szCs w:val="20"/>
              </w:rPr>
              <w:t xml:space="preserve"> "Возрастающая роль отраслевых организаций в Секторе стандартизации электросвязи МСЭ"</w:t>
            </w:r>
          </w:p>
          <w:p w14:paraId="20828FAE" w14:textId="7D5D361B" w:rsidR="00C7335D" w:rsidRPr="00CA33E4" w:rsidRDefault="00C7335D" w:rsidP="00C7335D">
            <w:pPr>
              <w:pStyle w:val="Tabletext"/>
              <w:rPr>
                <w:bCs/>
                <w:szCs w:val="20"/>
              </w:rPr>
            </w:pPr>
            <w:r w:rsidRPr="00CA33E4">
              <w:rPr>
                <w:b/>
                <w:szCs w:val="20"/>
              </w:rPr>
              <w:t>Резолюция 91</w:t>
            </w:r>
            <w:r w:rsidRPr="00CA33E4">
              <w:rPr>
                <w:bCs/>
                <w:szCs w:val="20"/>
              </w:rPr>
              <w:t xml:space="preserve"> "Расширение доступа к электронному хранилищу информации о планах нумерации, публикуемых Сектором стандартизации</w:t>
            </w:r>
            <w:r w:rsidR="00AD0809" w:rsidRPr="00CA33E4">
              <w:rPr>
                <w:bCs/>
                <w:szCs w:val="20"/>
              </w:rPr>
              <w:t xml:space="preserve"> электросвязи МСЭ</w:t>
            </w:r>
            <w:r w:rsidRPr="00CA33E4">
              <w:rPr>
                <w:bCs/>
                <w:szCs w:val="20"/>
              </w:rPr>
              <w:t>"</w:t>
            </w:r>
          </w:p>
          <w:p w14:paraId="4BCEC5F9" w14:textId="078F5914" w:rsidR="00C7335D" w:rsidRPr="00CA33E4" w:rsidRDefault="00C7335D" w:rsidP="00C7335D">
            <w:pPr>
              <w:pStyle w:val="Tabletext"/>
              <w:rPr>
                <w:bCs/>
                <w:szCs w:val="20"/>
              </w:rPr>
            </w:pPr>
            <w:r w:rsidRPr="00CA33E4">
              <w:rPr>
                <w:b/>
                <w:szCs w:val="20"/>
              </w:rPr>
              <w:t>Резолюция 93</w:t>
            </w:r>
            <w:r w:rsidRPr="00CA33E4">
              <w:rPr>
                <w:bCs/>
                <w:szCs w:val="20"/>
              </w:rPr>
              <w:t xml:space="preserve"> "Взаимодействие сетей 4G, IMT-2020 и дальнейших поколений"</w:t>
            </w:r>
          </w:p>
          <w:p w14:paraId="568DD166" w14:textId="7259755C" w:rsidR="00C7335D" w:rsidRPr="00CA33E4" w:rsidRDefault="00C7335D" w:rsidP="00C7335D">
            <w:pPr>
              <w:pStyle w:val="Tabletext"/>
              <w:rPr>
                <w:bCs/>
                <w:szCs w:val="20"/>
              </w:rPr>
            </w:pPr>
            <w:r w:rsidRPr="00CA33E4">
              <w:rPr>
                <w:b/>
                <w:szCs w:val="20"/>
              </w:rPr>
              <w:t>Резолюция 96</w:t>
            </w:r>
            <w:r w:rsidRPr="00CA33E4">
              <w:rPr>
                <w:bCs/>
                <w:szCs w:val="20"/>
              </w:rPr>
              <w:t xml:space="preserve"> "Исследования Сектора стандартизации электросвязи МСЭ в области борьбы с контрафактными устройствами электросвязи/информационно-коммуникационных технологий"</w:t>
            </w:r>
          </w:p>
          <w:p w14:paraId="19A71E22" w14:textId="0D172515" w:rsidR="00C7335D" w:rsidRPr="00CA33E4" w:rsidRDefault="00C7335D" w:rsidP="00C7335D">
            <w:pPr>
              <w:pStyle w:val="Tabletext"/>
              <w:rPr>
                <w:bCs/>
                <w:szCs w:val="20"/>
              </w:rPr>
            </w:pPr>
            <w:r w:rsidRPr="00CA33E4">
              <w:rPr>
                <w:b/>
                <w:szCs w:val="20"/>
              </w:rPr>
              <w:t>Резолюция 97</w:t>
            </w:r>
            <w:r w:rsidRPr="00CA33E4">
              <w:rPr>
                <w:bCs/>
                <w:szCs w:val="20"/>
              </w:rPr>
              <w:t xml:space="preserve"> "Борьба с хищениями мобильных устройств электросвязи"</w:t>
            </w:r>
          </w:p>
          <w:p w14:paraId="7DD9AFE6" w14:textId="307BD34C" w:rsidR="00C7335D" w:rsidRPr="00CA33E4" w:rsidRDefault="00C7335D" w:rsidP="00C7335D">
            <w:pPr>
              <w:pStyle w:val="Tabletext"/>
              <w:rPr>
                <w:bCs/>
                <w:szCs w:val="20"/>
              </w:rPr>
            </w:pPr>
            <w:r w:rsidRPr="00CA33E4">
              <w:rPr>
                <w:b/>
                <w:szCs w:val="20"/>
              </w:rPr>
              <w:t xml:space="preserve">Рекомендация МСЭ-Т </w:t>
            </w:r>
            <w:proofErr w:type="spellStart"/>
            <w:r w:rsidRPr="00CA33E4">
              <w:rPr>
                <w:b/>
                <w:szCs w:val="20"/>
              </w:rPr>
              <w:t>А.7</w:t>
            </w:r>
            <w:proofErr w:type="spellEnd"/>
            <w:r w:rsidRPr="00CA33E4">
              <w:rPr>
                <w:bCs/>
                <w:szCs w:val="20"/>
              </w:rPr>
              <w:t xml:space="preserve"> "Оперативные группы: создание и рабочие процедуры"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024C" w14:textId="77777777" w:rsidR="00CD2050" w:rsidRPr="00CA33E4" w:rsidRDefault="00CD2050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br/>
            </w:r>
          </w:p>
          <w:p w14:paraId="473A7B2B" w14:textId="77777777" w:rsidR="00CD2050" w:rsidRPr="00CA33E4" w:rsidRDefault="00CD2050" w:rsidP="00CD2050">
            <w:pPr>
              <w:pStyle w:val="Tabletext"/>
              <w:jc w:val="center"/>
              <w:rPr>
                <w:szCs w:val="20"/>
              </w:rPr>
            </w:pPr>
          </w:p>
          <w:p w14:paraId="5DFA16BC" w14:textId="436D617B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Тематические</w:t>
            </w:r>
            <w:r w:rsidR="00CD2050" w:rsidRPr="00CA33E4">
              <w:rPr>
                <w:szCs w:val="20"/>
              </w:rPr>
              <w:br/>
            </w:r>
          </w:p>
          <w:p w14:paraId="5E471E0F" w14:textId="697F7A7B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Административные</w:t>
            </w:r>
            <w:r w:rsidR="00CD2050" w:rsidRPr="00CA33E4">
              <w:rPr>
                <w:szCs w:val="20"/>
              </w:rPr>
              <w:br/>
            </w:r>
          </w:p>
          <w:p w14:paraId="2AC90E71" w14:textId="2686E066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Правила и процедуры</w:t>
            </w:r>
            <w:r w:rsidR="00CD2050" w:rsidRPr="00CA33E4">
              <w:rPr>
                <w:szCs w:val="20"/>
              </w:rPr>
              <w:br/>
            </w:r>
          </w:p>
          <w:p w14:paraId="5924EB09" w14:textId="5562326D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Административные</w:t>
            </w:r>
            <w:r w:rsidR="00CD2050" w:rsidRPr="00CA33E4">
              <w:rPr>
                <w:szCs w:val="20"/>
              </w:rPr>
              <w:br/>
            </w:r>
            <w:r w:rsidR="00CD2050" w:rsidRPr="00CA33E4">
              <w:rPr>
                <w:szCs w:val="20"/>
              </w:rPr>
              <w:br/>
            </w:r>
          </w:p>
          <w:p w14:paraId="7859951A" w14:textId="57323DB1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Тематические</w:t>
            </w:r>
            <w:r w:rsidR="00CD2050" w:rsidRPr="00CA33E4">
              <w:rPr>
                <w:szCs w:val="20"/>
              </w:rPr>
              <w:br/>
            </w:r>
          </w:p>
          <w:p w14:paraId="512FDDAA" w14:textId="16162098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Тематические</w:t>
            </w:r>
            <w:r w:rsidR="00CD2050" w:rsidRPr="00CA33E4">
              <w:rPr>
                <w:szCs w:val="20"/>
              </w:rPr>
              <w:br/>
            </w:r>
            <w:r w:rsidR="00CD2050" w:rsidRPr="00CA33E4">
              <w:rPr>
                <w:szCs w:val="20"/>
              </w:rPr>
              <w:br/>
            </w:r>
            <w:r w:rsidR="00CD2050" w:rsidRPr="00CA33E4">
              <w:rPr>
                <w:szCs w:val="20"/>
              </w:rPr>
              <w:br/>
            </w:r>
          </w:p>
          <w:p w14:paraId="20E5C255" w14:textId="35D73006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Тематические</w:t>
            </w:r>
            <w:r w:rsidR="00CD2050" w:rsidRPr="00CA33E4">
              <w:rPr>
                <w:szCs w:val="20"/>
              </w:rPr>
              <w:br/>
            </w:r>
          </w:p>
          <w:p w14:paraId="6FE77094" w14:textId="741A2E38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Правила и процедуры</w:t>
            </w:r>
          </w:p>
        </w:tc>
      </w:tr>
      <w:tr w:rsidR="00C7335D" w:rsidRPr="00CA33E4" w14:paraId="070173D8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5331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28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6DD8" w14:textId="7777777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Пересмотр Резолюции 2</w:t>
            </w:r>
          </w:p>
          <w:p w14:paraId="372CD8CD" w14:textId="33DD7857" w:rsidR="00C7335D" w:rsidRPr="00CA33E4" w:rsidRDefault="00C7335D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szCs w:val="20"/>
              </w:rPr>
              <w:t>"Сфера ответственности и мандаты исследовательских комиссий Сектора стандартизации электросвязи МСЭ"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0883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Правила и процедуры</w:t>
            </w:r>
          </w:p>
        </w:tc>
      </w:tr>
      <w:tr w:rsidR="00C7335D" w:rsidRPr="00CA33E4" w14:paraId="50E90680" w14:textId="77777777" w:rsidTr="00CD205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C84F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29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6A4D" w14:textId="245071F4" w:rsidR="00C7335D" w:rsidRPr="00CA33E4" w:rsidRDefault="002A23C5" w:rsidP="00C7335D">
            <w:pPr>
              <w:pStyle w:val="Tabletext"/>
              <w:rPr>
                <w:b/>
                <w:szCs w:val="20"/>
              </w:rPr>
            </w:pPr>
            <w:r w:rsidRPr="00CA33E4">
              <w:rPr>
                <w:b/>
                <w:szCs w:val="20"/>
              </w:rPr>
              <w:t>Исключение</w:t>
            </w:r>
            <w:r w:rsidR="00C7335D" w:rsidRPr="00CA33E4">
              <w:rPr>
                <w:b/>
                <w:szCs w:val="20"/>
              </w:rPr>
              <w:t xml:space="preserve"> Резолюции 55</w:t>
            </w:r>
          </w:p>
          <w:p w14:paraId="7CD4B927" w14:textId="0CFA9E5E" w:rsidR="00C7335D" w:rsidRPr="00CA33E4" w:rsidRDefault="00C7335D" w:rsidP="00C7335D">
            <w:pPr>
              <w:pStyle w:val="Tabletext"/>
              <w:rPr>
                <w:szCs w:val="20"/>
              </w:rPr>
            </w:pPr>
            <w:r w:rsidRPr="00CA33E4">
              <w:rPr>
                <w:szCs w:val="20"/>
              </w:rPr>
              <w:t>"Содействие гендерному равенству в деятельности Сектора стандартизации электросвязи МСЭ"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B51" w14:textId="77777777" w:rsidR="00C7335D" w:rsidRPr="00CA33E4" w:rsidRDefault="00C7335D" w:rsidP="00CD2050">
            <w:pPr>
              <w:pStyle w:val="Tabletext"/>
              <w:jc w:val="center"/>
              <w:rPr>
                <w:szCs w:val="20"/>
              </w:rPr>
            </w:pPr>
            <w:r w:rsidRPr="00CA33E4">
              <w:rPr>
                <w:szCs w:val="20"/>
              </w:rPr>
              <w:t>Общие</w:t>
            </w:r>
          </w:p>
        </w:tc>
      </w:tr>
    </w:tbl>
    <w:p w14:paraId="279D572C" w14:textId="77777777" w:rsidR="00CD2050" w:rsidRPr="00CA33E4" w:rsidRDefault="00CD20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CA33E4">
        <w:br w:type="page"/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651"/>
        <w:gridCol w:w="652"/>
        <w:gridCol w:w="651"/>
        <w:gridCol w:w="652"/>
        <w:gridCol w:w="651"/>
        <w:gridCol w:w="652"/>
        <w:gridCol w:w="651"/>
        <w:gridCol w:w="652"/>
        <w:gridCol w:w="651"/>
        <w:gridCol w:w="652"/>
      </w:tblGrid>
      <w:tr w:rsidR="00CD2050" w:rsidRPr="00CA33E4" w14:paraId="13145CC9" w14:textId="77777777" w:rsidTr="00CD2050">
        <w:trPr>
          <w:cantSplit/>
          <w:trHeight w:val="1408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B1A1C2A" w14:textId="74339029" w:rsidR="00CD2050" w:rsidRPr="00CA33E4" w:rsidRDefault="00CD2050" w:rsidP="00CD2050">
            <w:pPr>
              <w:pStyle w:val="Tablehead"/>
              <w:rPr>
                <w:rFonts w:eastAsia="Dotum"/>
                <w:lang w:val="ru-RU"/>
              </w:rPr>
            </w:pPr>
            <w:r w:rsidRPr="00CA33E4">
              <w:rPr>
                <w:rFonts w:eastAsia="Dotum"/>
                <w:lang w:val="ru-RU"/>
              </w:rPr>
              <w:lastRenderedPageBreak/>
              <w:t>№ РСС</w:t>
            </w:r>
          </w:p>
        </w:tc>
        <w:tc>
          <w:tcPr>
            <w:tcW w:w="651" w:type="dxa"/>
            <w:shd w:val="clear" w:color="auto" w:fill="FFFFFF" w:themeFill="background1"/>
            <w:textDirection w:val="btLr"/>
            <w:vAlign w:val="center"/>
          </w:tcPr>
          <w:p w14:paraId="63B75BBC" w14:textId="780A6ACE" w:rsidR="00CD2050" w:rsidRPr="00CA33E4" w:rsidRDefault="00CD2050" w:rsidP="00CD2050">
            <w:pPr>
              <w:pStyle w:val="Tablehead"/>
              <w:rPr>
                <w:rFonts w:eastAsia="Dotum"/>
                <w:lang w:val="ru-RU"/>
              </w:rPr>
            </w:pPr>
            <w:r w:rsidRPr="00CA33E4">
              <w:rPr>
                <w:lang w:val="ru-RU"/>
              </w:rPr>
              <w:t>Азербайджан</w:t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C472B78" w14:textId="40F84E36" w:rsidR="00CD2050" w:rsidRPr="00CA33E4" w:rsidRDefault="00CD2050" w:rsidP="00CD2050">
            <w:pPr>
              <w:pStyle w:val="Tablehead"/>
              <w:rPr>
                <w:rFonts w:eastAsia="Dotum"/>
                <w:lang w:val="ru-RU"/>
              </w:rPr>
            </w:pPr>
            <w:r w:rsidRPr="00CA33E4">
              <w:rPr>
                <w:lang w:val="ru-RU"/>
              </w:rPr>
              <w:t>Армения</w:t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15B4ADA" w14:textId="00FBEC88" w:rsidR="00CD2050" w:rsidRPr="00CA33E4" w:rsidRDefault="00CD2050" w:rsidP="00CD2050">
            <w:pPr>
              <w:pStyle w:val="Tablehead"/>
              <w:rPr>
                <w:rFonts w:eastAsia="Dotum"/>
                <w:lang w:val="ru-RU"/>
              </w:rPr>
            </w:pPr>
            <w:r w:rsidRPr="00CA33E4">
              <w:rPr>
                <w:lang w:val="ru-RU"/>
              </w:rPr>
              <w:t>Беларусь</w:t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6533FC6" w14:textId="1EA4E2C6" w:rsidR="00CD2050" w:rsidRPr="00CA33E4" w:rsidRDefault="00CD2050" w:rsidP="00CD2050">
            <w:pPr>
              <w:pStyle w:val="Tablehead"/>
              <w:rPr>
                <w:rFonts w:eastAsia="Dotum"/>
                <w:lang w:val="ru-RU"/>
              </w:rPr>
            </w:pPr>
            <w:r w:rsidRPr="00CA33E4">
              <w:rPr>
                <w:lang w:val="ru-RU"/>
              </w:rPr>
              <w:t>Казахстан</w:t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2C259B6" w14:textId="1F17AE12" w:rsidR="00CD2050" w:rsidRPr="00CA33E4" w:rsidRDefault="00CD2050" w:rsidP="00CD2050">
            <w:pPr>
              <w:pStyle w:val="Tablehead"/>
              <w:rPr>
                <w:rFonts w:eastAsia="Dotum"/>
                <w:lang w:val="ru-RU"/>
              </w:rPr>
            </w:pPr>
            <w:r w:rsidRPr="00CA33E4">
              <w:rPr>
                <w:lang w:val="ru-RU"/>
              </w:rPr>
              <w:t>Кыргызстан</w:t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4F8593B" w14:textId="0C6B04AB" w:rsidR="00CD2050" w:rsidRPr="00CA33E4" w:rsidRDefault="00CD2050" w:rsidP="00CD2050">
            <w:pPr>
              <w:pStyle w:val="Tablehead"/>
              <w:rPr>
                <w:rFonts w:eastAsia="Dotum"/>
                <w:lang w:val="ru-RU"/>
              </w:rPr>
            </w:pPr>
            <w:r w:rsidRPr="00CA33E4">
              <w:rPr>
                <w:lang w:val="ru-RU"/>
              </w:rPr>
              <w:t>Молдова</w:t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6841C87" w14:textId="7C14FD94" w:rsidR="00CD2050" w:rsidRPr="00CA33E4" w:rsidRDefault="00CD2050" w:rsidP="00CD2050">
            <w:pPr>
              <w:pStyle w:val="Tablehead"/>
              <w:rPr>
                <w:rFonts w:eastAsia="Dotum"/>
                <w:lang w:val="ru-RU"/>
              </w:rPr>
            </w:pPr>
            <w:r w:rsidRPr="00CA33E4">
              <w:rPr>
                <w:lang w:val="ru-RU"/>
              </w:rPr>
              <w:t>Российская Федерация</w:t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5474DC5" w14:textId="34D22391" w:rsidR="00CD2050" w:rsidRPr="00CA33E4" w:rsidRDefault="00CD2050" w:rsidP="00CD2050">
            <w:pPr>
              <w:pStyle w:val="Tablehead"/>
              <w:rPr>
                <w:rFonts w:eastAsia="Dotum"/>
                <w:lang w:val="ru-RU"/>
              </w:rPr>
            </w:pPr>
            <w:r w:rsidRPr="00CA33E4">
              <w:rPr>
                <w:lang w:val="ru-RU"/>
              </w:rPr>
              <w:t>Таджикистан</w:t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B7F599A" w14:textId="6732CE6A" w:rsidR="00CD2050" w:rsidRPr="00CA33E4" w:rsidRDefault="00CD2050" w:rsidP="00CD2050">
            <w:pPr>
              <w:pStyle w:val="Tablehead"/>
              <w:rPr>
                <w:rFonts w:eastAsia="Dotum"/>
                <w:lang w:val="ru-RU"/>
              </w:rPr>
            </w:pPr>
            <w:r w:rsidRPr="00CA33E4">
              <w:rPr>
                <w:lang w:val="ru-RU"/>
              </w:rPr>
              <w:t>Туркменистан</w:t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F9D5D62" w14:textId="33541F20" w:rsidR="00CD2050" w:rsidRPr="00CA33E4" w:rsidRDefault="00CD2050" w:rsidP="00CD2050">
            <w:pPr>
              <w:pStyle w:val="Tablehead"/>
              <w:rPr>
                <w:rFonts w:eastAsia="Dotum"/>
                <w:lang w:val="ru-RU"/>
              </w:rPr>
            </w:pPr>
            <w:r w:rsidRPr="00CA33E4">
              <w:rPr>
                <w:lang w:val="ru-RU"/>
              </w:rPr>
              <w:t>Узбекистан</w:t>
            </w:r>
          </w:p>
        </w:tc>
      </w:tr>
      <w:tr w:rsidR="00CD2050" w:rsidRPr="00CA33E4" w14:paraId="68C7A173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3838E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7AEAC98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415BC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6B2D0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AB147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3C4E6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97A77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00845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E16D5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2CB93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CA2A5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2AF6F02E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89A23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2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34206E2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2F5A2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A3B2D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11907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DF15D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54D9C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34765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ADFFB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38DEB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C4B8E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4E4D0567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68E24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3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78BCFE1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6D1C8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EBAB2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12B22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49E6C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271AF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4231D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7E390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5F99E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A078F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07FEA532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BD5154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4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389F702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F97E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93A18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A7C63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6C7C4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E8AE7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7B1DF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39992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B5096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3713C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51095A24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1411D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5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4FFDDC3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F62C2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07DB6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781FF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6DEBD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FE678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D6BBF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F62B0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DE8BA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9F8DA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6EAA6FE0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ED3EC3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6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5319213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1B255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74AB4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DBF53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5A6BA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E10CD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B62A6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86C31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F7DA6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822AA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sym w:font="Wingdings" w:char="F0FC"/>
            </w:r>
          </w:p>
        </w:tc>
      </w:tr>
      <w:tr w:rsidR="00CD2050" w:rsidRPr="00CA33E4" w14:paraId="42F606ED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92DB4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7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6BF3638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3EDE8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EAE36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2235C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7664A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FFD4C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91962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3B20A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616F0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EC514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0EE54C59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74838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8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57E7565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E848B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3A205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2F6B81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011D1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C5501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9F968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5E3D5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630D8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0B3B0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73B586D4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AEB80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9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02D6487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/>
              </w:rPr>
              <w:t></w:t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A612D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2D51E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AC7B5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05743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47CB6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53FAF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CF1AC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42868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C30B5A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2452E1B6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602780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10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77C2F4D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36B4B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BFB2B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37CEF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0C250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F4B5E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F3A9F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CC98B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0C57F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9849C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39D0C389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A9C01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11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7D3BC67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39AA5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48565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2460B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9FB0B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4B1A9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48295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65B1B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5F702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5F5F1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0DBE9F3B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EA3D1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12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6D37029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6AFCC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7102E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88A42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0DE59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2D12D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38A53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27D4A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14D23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D09A5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3DC6ABE3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EF4BC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13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4B3C38F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6128E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6A037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141A9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4CE05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46EFA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658EA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1F399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F25A2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78AE6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7624F64A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9BCE5A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14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2EC213E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814FA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A1E0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BFA4C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2127C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FFF40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42931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123A5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55F92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43E7E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</w:tr>
      <w:tr w:rsidR="00CD2050" w:rsidRPr="00CA33E4" w14:paraId="1EDB7319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095F8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15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19A1C3F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E8788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63FB8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B53DE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14111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E19C1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2D0EC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9D5AA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ACDCB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9C3CF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3EB190F3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DB55B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16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7074C3F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8FD80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5FDFB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16080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3FF11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11619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D8B97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4FDE8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18A1C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034D1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6B6D0C41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127E1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17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097BFA9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49629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57749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1FF6D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4E060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4A058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C39EE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B3017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4C295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DBCDA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</w:tr>
      <w:tr w:rsidR="00CD2050" w:rsidRPr="00CA33E4" w14:paraId="52D5EBF4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17C073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18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1E2E58B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0F69F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60BC4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24261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D63DE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12E42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C7560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3D1F2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E1849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A7A79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</w:tr>
      <w:tr w:rsidR="00CD2050" w:rsidRPr="00CA33E4" w14:paraId="604897C1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C9D93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19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219EEA3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8B6A7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810D9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F2F49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9EB23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2845B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06835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E9C45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1D799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CDB29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</w:tr>
      <w:tr w:rsidR="00CD2050" w:rsidRPr="00CA33E4" w14:paraId="42E80B75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F2A59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20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06C7BA4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42B5A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406CF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A00AC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CA5B1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1589A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4E8EA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C3855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DF514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3E87A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</w:tr>
      <w:tr w:rsidR="00CD2050" w:rsidRPr="00CA33E4" w14:paraId="641D0318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0C5AE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21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040809C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6B605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5CF0E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91D5C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C4398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DF7C8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BA3A5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5BEA1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30B58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B093A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2AE0FB55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0CAE1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22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2980C58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25FBC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398657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E3B18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1DDCB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A9F29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CC509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3D751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C10BC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EEB6A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CD2050" w:rsidRPr="00CA33E4" w14:paraId="23FEF875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416B23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23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45C0972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7316C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3D637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1E05F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D82CA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36AF0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E68D7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CEF9B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4E73E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A5B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</w:tr>
      <w:tr w:rsidR="00CD2050" w:rsidRPr="00CA33E4" w14:paraId="4E0554E1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8E62F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24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7C777BF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DC861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10A02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DBFD4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90B78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DE9AD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E775F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A627C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4FDD7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F033F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</w:tr>
      <w:tr w:rsidR="00CD2050" w:rsidRPr="00CA33E4" w14:paraId="03728851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961BA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25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42AF75F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4D433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18A7E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EE9D6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19CA7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78303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DE555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7BEC2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1E7073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CCCA1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</w:tr>
      <w:tr w:rsidR="00CD2050" w:rsidRPr="00CA33E4" w14:paraId="584BCB7F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E42D5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26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53D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76B0D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6A9EA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55BDF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64ACC1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4438A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3E8F5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0E2F0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2E4C3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2F012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</w:tr>
      <w:tr w:rsidR="00CD2050" w:rsidRPr="00CA33E4" w14:paraId="75F76238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ECAA5E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27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C1FF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72CFF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A05DF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40B70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BA3E2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EFBB0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E7F43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90733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A0D648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493EB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</w:tr>
      <w:tr w:rsidR="00CD2050" w:rsidRPr="00CA33E4" w14:paraId="14A48A45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7FEE96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0CE3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2469D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FCAD1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88A18B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AA441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01E93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5D915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F9CA73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C6E9D4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053A9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</w:tr>
      <w:tr w:rsidR="00CD2050" w:rsidRPr="00CA33E4" w14:paraId="6D35743A" w14:textId="77777777" w:rsidTr="00CD2050">
        <w:trPr>
          <w:cantSplit/>
          <w:trHeight w:val="31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59386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</w:rPr>
            </w:pPr>
            <w:r w:rsidRPr="00CA33E4">
              <w:rPr>
                <w:rFonts w:eastAsia="Dotum"/>
              </w:rPr>
              <w:t>29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4CDBD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E57FB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62325A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3285A0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83D50A5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4BBE29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CAD3CE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  <w:r w:rsidRPr="00CA33E4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2C666C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61F5E2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229EDF" w14:textId="77777777" w:rsidR="00CD2050" w:rsidRPr="00CA33E4" w:rsidRDefault="00CD2050" w:rsidP="00CD2050">
            <w:pPr>
              <w:pStyle w:val="Tabletext"/>
              <w:jc w:val="center"/>
              <w:rPr>
                <w:rFonts w:eastAsia="Dotum"/>
                <w:b/>
              </w:rPr>
            </w:pPr>
          </w:p>
        </w:tc>
      </w:tr>
    </w:tbl>
    <w:p w14:paraId="683D19D1" w14:textId="6B30D558" w:rsidR="00CD2050" w:rsidRPr="00CA33E4" w:rsidRDefault="00CD2050" w:rsidP="00CA33E4">
      <w:pPr>
        <w:pStyle w:val="Tablelegend"/>
        <w:tabs>
          <w:tab w:val="clear" w:pos="567"/>
          <w:tab w:val="clear" w:pos="794"/>
          <w:tab w:val="clear" w:pos="851"/>
          <w:tab w:val="clear" w:pos="1191"/>
          <w:tab w:val="clear" w:pos="1418"/>
          <w:tab w:val="clear" w:pos="158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ind w:left="284" w:hanging="284"/>
        <w:rPr>
          <w:rFonts w:eastAsia="Calibri"/>
        </w:rPr>
      </w:pPr>
      <w:r w:rsidRPr="00CA33E4">
        <w:rPr>
          <w:rFonts w:eastAsia="Calibri"/>
        </w:rPr>
        <w:t>*</w:t>
      </w:r>
      <w:r w:rsidRPr="00CA33E4">
        <w:rPr>
          <w:rFonts w:eastAsia="Calibri"/>
        </w:rPr>
        <w:tab/>
      </w:r>
      <w:r w:rsidR="00952150" w:rsidRPr="00CA33E4">
        <w:rPr>
          <w:rFonts w:eastAsia="Calibri"/>
        </w:rPr>
        <w:t xml:space="preserve">Чтобы выразить поддержку проекту того или иного вклада, поставьте галочку </w:t>
      </w:r>
      <w:r w:rsidR="00952150" w:rsidRPr="00CA33E4">
        <w:rPr>
          <w:rFonts w:ascii="Wingdings" w:eastAsia="Calibri" w:hAnsi="Wingdings"/>
          <w:b/>
          <w:color w:val="0070C0"/>
        </w:rPr>
        <w:sym w:font="Wingdings" w:char="F0FC"/>
      </w:r>
      <w:r w:rsidR="00952150" w:rsidRPr="00CA33E4">
        <w:rPr>
          <w:rFonts w:eastAsia="Calibri"/>
        </w:rPr>
        <w:t xml:space="preserve"> в соответствующем столбце таблицы. </w:t>
      </w:r>
    </w:p>
    <w:p w14:paraId="6B4D04B7" w14:textId="77777777" w:rsidR="00CD2050" w:rsidRPr="00CA33E4" w:rsidRDefault="00CD2050" w:rsidP="00411C49">
      <w:pPr>
        <w:pStyle w:val="Reasons"/>
      </w:pPr>
    </w:p>
    <w:p w14:paraId="04BAE0D6" w14:textId="77777777" w:rsidR="00CD2050" w:rsidRPr="00CA33E4" w:rsidRDefault="00CD2050">
      <w:pPr>
        <w:jc w:val="center"/>
      </w:pPr>
      <w:r w:rsidRPr="00CA33E4">
        <w:t>______________</w:t>
      </w:r>
    </w:p>
    <w:sectPr w:rsidR="00CD2050" w:rsidRPr="00CA33E4" w:rsidSect="00662A60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7721" w14:textId="77777777" w:rsidR="006F4001" w:rsidRDefault="006F4001">
      <w:r>
        <w:separator/>
      </w:r>
    </w:p>
  </w:endnote>
  <w:endnote w:type="continuationSeparator" w:id="0">
    <w:p w14:paraId="26F04EB9" w14:textId="77777777" w:rsidR="006F4001" w:rsidRDefault="006F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03E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EFDACF" w14:textId="4CC97C6D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33E4">
      <w:rPr>
        <w:noProof/>
      </w:rPr>
      <w:t>21.02.22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B438" w14:textId="535006FD" w:rsidR="00567276" w:rsidRPr="00C7335D" w:rsidRDefault="00567276" w:rsidP="00777F17">
    <w:pPr>
      <w:pStyle w:val="Footer"/>
      <w:rPr>
        <w:lang w:val="fr-CH"/>
      </w:rPr>
    </w:pPr>
    <w:r>
      <w:fldChar w:fldCharType="begin"/>
    </w:r>
    <w:r w:rsidRPr="00C7335D">
      <w:rPr>
        <w:lang w:val="fr-CH"/>
      </w:rPr>
      <w:instrText xml:space="preserve"> FILENAME \p  \* MERGEFORMAT </w:instrText>
    </w:r>
    <w:r>
      <w:fldChar w:fldCharType="separate"/>
    </w:r>
    <w:r w:rsidR="00C7335D" w:rsidRPr="00C7335D">
      <w:rPr>
        <w:lang w:val="fr-CH"/>
      </w:rPr>
      <w:t>P:\RUS\ITU-T\CONF-T\WTSA20\000\040R.DOCX</w:t>
    </w:r>
    <w:r>
      <w:fldChar w:fldCharType="end"/>
    </w:r>
    <w:r w:rsidR="00C7335D" w:rsidRPr="00C7335D">
      <w:rPr>
        <w:lang w:val="fr-CH"/>
      </w:rPr>
      <w:t xml:space="preserve"> </w:t>
    </w:r>
    <w:r w:rsidR="00C7335D">
      <w:rPr>
        <w:lang w:val="fr-CH"/>
      </w:rPr>
      <w:t>(</w:t>
    </w:r>
    <w:r w:rsidR="00C7335D" w:rsidRPr="00C7335D">
      <w:rPr>
        <w:lang w:val="fr-CH"/>
      </w:rPr>
      <w:t>478090</w:t>
    </w:r>
    <w:r w:rsidR="00C7335D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052F" w14:textId="7ED320D2" w:rsidR="00C7335D" w:rsidRPr="00C7335D" w:rsidRDefault="00C7335D">
    <w:pPr>
      <w:pStyle w:val="Footer"/>
      <w:rPr>
        <w:lang w:val="fr-CH"/>
      </w:rPr>
    </w:pPr>
    <w:r>
      <w:fldChar w:fldCharType="begin"/>
    </w:r>
    <w:r w:rsidRPr="00C7335D">
      <w:rPr>
        <w:lang w:val="fr-CH"/>
      </w:rPr>
      <w:instrText xml:space="preserve"> FILENAME \p  \* MERGEFORMAT </w:instrText>
    </w:r>
    <w:r>
      <w:fldChar w:fldCharType="separate"/>
    </w:r>
    <w:r w:rsidRPr="00C7335D">
      <w:rPr>
        <w:lang w:val="fr-CH"/>
      </w:rPr>
      <w:t>P:\RUS\ITU-T\CONF-T\WTSA20\000\040R.DOCX</w:t>
    </w:r>
    <w:r>
      <w:fldChar w:fldCharType="end"/>
    </w:r>
    <w:r w:rsidRPr="00C7335D">
      <w:rPr>
        <w:lang w:val="fr-CH"/>
      </w:rPr>
      <w:t xml:space="preserve"> </w:t>
    </w:r>
    <w:r>
      <w:rPr>
        <w:lang w:val="fr-CH"/>
      </w:rPr>
      <w:t>(</w:t>
    </w:r>
    <w:r w:rsidRPr="00C7335D">
      <w:rPr>
        <w:lang w:val="fr-CH"/>
      </w:rPr>
      <w:t>478090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D982" w14:textId="77777777" w:rsidR="006F4001" w:rsidRDefault="006F4001">
      <w:r>
        <w:rPr>
          <w:b/>
        </w:rPr>
        <w:t>_______________</w:t>
      </w:r>
    </w:p>
  </w:footnote>
  <w:footnote w:type="continuationSeparator" w:id="0">
    <w:p w14:paraId="426CC94A" w14:textId="77777777" w:rsidR="006F4001" w:rsidRDefault="006F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632A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7F774BBF" w14:textId="44B48225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A33E4">
      <w:rPr>
        <w:noProof/>
        <w:lang w:val="en-US"/>
      </w:rPr>
      <w:t>Документ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3C5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6F4001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52150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D0809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335D"/>
    <w:rsid w:val="00C96E00"/>
    <w:rsid w:val="00CA33E4"/>
    <w:rsid w:val="00CB3402"/>
    <w:rsid w:val="00CC47C6"/>
    <w:rsid w:val="00CC4DE6"/>
    <w:rsid w:val="00CD2050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01EA"/>
    <w:rsid w:val="00EF7176"/>
    <w:rsid w:val="00F107B9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45816D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F107B9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F107B9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C7335D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3ED27FAA2C433B919BD585D472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B638-1291-4544-A2AA-CA8469FCFA9F}"/>
      </w:docPartPr>
      <w:docPartBody>
        <w:p w:rsidR="00000000" w:rsidRDefault="007C45C9" w:rsidP="007C45C9">
          <w:pPr>
            <w:pStyle w:val="C03ED27FAA2C433B919BD585D472B70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C9"/>
    <w:rsid w:val="007C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C9"/>
    <w:rPr>
      <w:color w:val="808080"/>
    </w:rPr>
  </w:style>
  <w:style w:type="paragraph" w:customStyle="1" w:styleId="C03ED27FAA2C433B919BD585D472B70D">
    <w:name w:val="C03ED27FAA2C433B919BD585D472B70D"/>
    <w:rsid w:val="007C4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188c0b3-2e79-469c-beb9-7c3cb5d972c9">DPM</DPM_x0020_Author>
    <DPM_x0020_File_x0020_name xmlns="1188c0b3-2e79-469c-beb9-7c3cb5d972c9">T17-WTSA.20-C-0040!!MSW-R</DPM_x0020_File_x0020_name>
    <DPM_x0020_Version xmlns="1188c0b3-2e79-469c-beb9-7c3cb5d972c9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188c0b3-2e79-469c-beb9-7c3cb5d972c9" targetNamespace="http://schemas.microsoft.com/office/2006/metadata/properties" ma:root="true" ma:fieldsID="d41af5c836d734370eb92e7ee5f83852" ns2:_="" ns3:_="">
    <xsd:import namespace="996b2e75-67fd-4955-a3b0-5ab9934cb50b"/>
    <xsd:import namespace="1188c0b3-2e79-469c-beb9-7c3cb5d972c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8c0b3-2e79-469c-beb9-7c3cb5d972c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1188c0b3-2e79-469c-beb9-7c3cb5d972c9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188c0b3-2e79-469c-beb9-7c3cb5d97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929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T17-WTSA.20-C-0040!!MSW-R</vt:lpstr>
    </vt:vector>
  </TitlesOfParts>
  <Manager>General Secretariat - Pool</Manager>
  <Company>International Telecommunication Union (ITU)</Company>
  <LinksUpToDate>false</LinksUpToDate>
  <CharactersWithSpaces>6844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5</cp:revision>
  <cp:lastPrinted>2016-03-08T13:33:00Z</cp:lastPrinted>
  <dcterms:created xsi:type="dcterms:W3CDTF">2022-02-11T14:54:00Z</dcterms:created>
  <dcterms:modified xsi:type="dcterms:W3CDTF">2022-02-21T08:50:00Z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