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07477F" w14:paraId="3995FE74" w14:textId="77777777" w:rsidTr="003F020A">
        <w:trPr>
          <w:cantSplit/>
        </w:trPr>
        <w:tc>
          <w:tcPr>
            <w:tcW w:w="6663" w:type="dxa"/>
            <w:vAlign w:val="center"/>
          </w:tcPr>
          <w:p w14:paraId="17E366A3" w14:textId="77777777" w:rsidR="00246525" w:rsidRPr="0007477F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07477F">
              <w:rPr>
                <w:sz w:val="22"/>
                <w:szCs w:val="22"/>
              </w:rPr>
              <w:t>World Telecommunication Standardization Assembly (WTSA-20)</w:t>
            </w:r>
            <w:r w:rsidRPr="0007477F">
              <w:rPr>
                <w:sz w:val="22"/>
                <w:szCs w:val="22"/>
              </w:rPr>
              <w:br/>
            </w:r>
            <w:r w:rsidR="00AC296C" w:rsidRPr="0007477F">
              <w:rPr>
                <w:sz w:val="18"/>
                <w:szCs w:val="18"/>
              </w:rPr>
              <w:t>Geneva</w:t>
            </w:r>
            <w:r w:rsidR="002D73EF" w:rsidRPr="0007477F">
              <w:rPr>
                <w:sz w:val="18"/>
                <w:szCs w:val="18"/>
              </w:rPr>
              <w:t>, 1-9 March 2022</w:t>
            </w:r>
          </w:p>
        </w:tc>
        <w:tc>
          <w:tcPr>
            <w:tcW w:w="3148" w:type="dxa"/>
            <w:vAlign w:val="center"/>
          </w:tcPr>
          <w:p w14:paraId="09E537B0" w14:textId="77777777" w:rsidR="00246525" w:rsidRPr="0007477F" w:rsidRDefault="00246525" w:rsidP="003F020A">
            <w:pPr>
              <w:spacing w:before="0"/>
            </w:pPr>
            <w:r w:rsidRPr="0007477F">
              <w:rPr>
                <w:noProof/>
                <w:lang w:eastAsia="zh-CN"/>
              </w:rPr>
              <w:drawing>
                <wp:inline distT="0" distB="0" distL="0" distR="0" wp14:anchorId="16C87FC0" wp14:editId="24D99D6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07477F" w14:paraId="4C3D987B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4A4F85BA" w14:textId="77777777" w:rsidR="00BC7D84" w:rsidRPr="0007477F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67CA0563" w14:textId="77777777" w:rsidR="00BC7D84" w:rsidRPr="0007477F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07477F" w14:paraId="43FEAFC6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20F87A3" w14:textId="77777777" w:rsidR="00BC7D84" w:rsidRPr="0007477F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8D37A10" w14:textId="77777777" w:rsidR="00BC7D84" w:rsidRPr="0007477F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07477F" w14:paraId="1A6B7D60" w14:textId="77777777" w:rsidTr="003F020A">
        <w:trPr>
          <w:cantSplit/>
        </w:trPr>
        <w:tc>
          <w:tcPr>
            <w:tcW w:w="6663" w:type="dxa"/>
          </w:tcPr>
          <w:p w14:paraId="1CAA115A" w14:textId="7ED5D989" w:rsidR="00BC7D84" w:rsidRPr="0007477F" w:rsidRDefault="007943C6" w:rsidP="003F020A">
            <w:pPr>
              <w:pStyle w:val="Committee"/>
            </w:pPr>
            <w:r w:rsidRPr="0007477F">
              <w:t>PLENARY MEETING</w:t>
            </w:r>
          </w:p>
        </w:tc>
        <w:tc>
          <w:tcPr>
            <w:tcW w:w="3148" w:type="dxa"/>
          </w:tcPr>
          <w:p w14:paraId="43687C0B" w14:textId="133705E2" w:rsidR="00BC7D84" w:rsidRPr="0007477F" w:rsidRDefault="0073132F" w:rsidP="003F020A">
            <w:pPr>
              <w:pStyle w:val="Docnumber"/>
              <w:ind w:left="-57"/>
            </w:pPr>
            <w:r w:rsidRPr="0007477F">
              <w:t>Document 40-E</w:t>
            </w:r>
          </w:p>
        </w:tc>
      </w:tr>
      <w:tr w:rsidR="00BC7D84" w:rsidRPr="0007477F" w14:paraId="2C5FAFA6" w14:textId="77777777" w:rsidTr="003F020A">
        <w:trPr>
          <w:cantSplit/>
        </w:trPr>
        <w:tc>
          <w:tcPr>
            <w:tcW w:w="6663" w:type="dxa"/>
          </w:tcPr>
          <w:p w14:paraId="28B59B60" w14:textId="449A580C" w:rsidR="00BC7D84" w:rsidRPr="0007477F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A1680FF" w14:textId="2F840A5B" w:rsidR="00BC7D84" w:rsidRPr="0007477F" w:rsidRDefault="009A473A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31 January</w:t>
            </w:r>
            <w:r w:rsidR="0073132F" w:rsidRPr="0007477F">
              <w:rPr>
                <w:rFonts w:ascii="Verdana" w:hAnsi="Verdana"/>
                <w:b/>
                <w:bCs/>
                <w:sz w:val="20"/>
                <w:szCs w:val="16"/>
              </w:rPr>
              <w:t xml:space="preserve"> 2022</w:t>
            </w:r>
          </w:p>
        </w:tc>
      </w:tr>
      <w:tr w:rsidR="00BC7D84" w:rsidRPr="0007477F" w14:paraId="057AB26A" w14:textId="77777777" w:rsidTr="003F020A">
        <w:trPr>
          <w:cantSplit/>
        </w:trPr>
        <w:tc>
          <w:tcPr>
            <w:tcW w:w="6663" w:type="dxa"/>
          </w:tcPr>
          <w:p w14:paraId="6DE23431" w14:textId="77777777" w:rsidR="00BC7D84" w:rsidRPr="0007477F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9F9212E" w14:textId="6FFF3ECF" w:rsidR="00BC7D84" w:rsidRPr="0007477F" w:rsidRDefault="0073132F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07477F">
              <w:rPr>
                <w:rFonts w:ascii="Verdana" w:hAnsi="Verdana"/>
                <w:b/>
                <w:bCs/>
                <w:sz w:val="20"/>
                <w:szCs w:val="16"/>
              </w:rPr>
              <w:t xml:space="preserve">Original: </w:t>
            </w:r>
            <w:r w:rsidR="007943C6" w:rsidRPr="0007477F">
              <w:rPr>
                <w:rFonts w:ascii="Verdana" w:hAnsi="Verdana"/>
                <w:b/>
                <w:bCs/>
                <w:sz w:val="20"/>
                <w:szCs w:val="16"/>
              </w:rPr>
              <w:t>Russian</w:t>
            </w:r>
          </w:p>
        </w:tc>
      </w:tr>
      <w:tr w:rsidR="00BC7D84" w:rsidRPr="0007477F" w14:paraId="614D70EB" w14:textId="77777777" w:rsidTr="003F020A">
        <w:trPr>
          <w:cantSplit/>
        </w:trPr>
        <w:tc>
          <w:tcPr>
            <w:tcW w:w="9811" w:type="dxa"/>
            <w:gridSpan w:val="2"/>
          </w:tcPr>
          <w:p w14:paraId="4F1B31AC" w14:textId="77777777" w:rsidR="00BC7D84" w:rsidRPr="0007477F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07477F" w14:paraId="427684CB" w14:textId="77777777" w:rsidTr="003F020A">
        <w:trPr>
          <w:cantSplit/>
        </w:trPr>
        <w:tc>
          <w:tcPr>
            <w:tcW w:w="9811" w:type="dxa"/>
            <w:gridSpan w:val="2"/>
          </w:tcPr>
          <w:p w14:paraId="72F1D49D" w14:textId="1BCA05E4" w:rsidR="00BC7D84" w:rsidRPr="008A5A2F" w:rsidRDefault="006B48C6" w:rsidP="003F020A">
            <w:pPr>
              <w:pStyle w:val="Source"/>
              <w:rPr>
                <w:highlight w:val="yellow"/>
                <w:lang w:val="en-US"/>
              </w:rPr>
            </w:pPr>
            <w:r w:rsidRPr="007E29B9">
              <w:t>ITU Member States, members of the Regional Commonwealth in the field of Communications (RCC)</w:t>
            </w:r>
          </w:p>
        </w:tc>
      </w:tr>
      <w:tr w:rsidR="00BC7D84" w:rsidRPr="0007477F" w14:paraId="1192360C" w14:textId="77777777" w:rsidTr="003F020A">
        <w:trPr>
          <w:cantSplit/>
        </w:trPr>
        <w:tc>
          <w:tcPr>
            <w:tcW w:w="9811" w:type="dxa"/>
            <w:gridSpan w:val="2"/>
          </w:tcPr>
          <w:p w14:paraId="57D14007" w14:textId="384158CD" w:rsidR="00BC7D84" w:rsidRPr="0007477F" w:rsidRDefault="007943C6" w:rsidP="003F020A">
            <w:pPr>
              <w:pStyle w:val="Title1"/>
              <w:rPr>
                <w:highlight w:val="yellow"/>
              </w:rPr>
            </w:pPr>
            <w:r w:rsidRPr="0007477F">
              <w:t>common Proposals for the work of the assembly</w:t>
            </w:r>
          </w:p>
        </w:tc>
      </w:tr>
      <w:tr w:rsidR="00BC7D84" w:rsidRPr="0007477F" w14:paraId="1C857CF8" w14:textId="77777777" w:rsidTr="003F020A">
        <w:trPr>
          <w:cantSplit/>
        </w:trPr>
        <w:tc>
          <w:tcPr>
            <w:tcW w:w="9811" w:type="dxa"/>
            <w:gridSpan w:val="2"/>
          </w:tcPr>
          <w:p w14:paraId="3130143F" w14:textId="5BA5CE57" w:rsidR="00BC7D84" w:rsidRPr="0007477F" w:rsidRDefault="00BC7D84" w:rsidP="003F020A">
            <w:pPr>
              <w:pStyle w:val="Title2"/>
            </w:pPr>
          </w:p>
        </w:tc>
      </w:tr>
      <w:tr w:rsidR="00BC7D84" w:rsidRPr="0007477F" w14:paraId="5CA6E6D3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481805E4" w14:textId="77777777" w:rsidR="00BC7D84" w:rsidRPr="0007477F" w:rsidRDefault="00BC7D84" w:rsidP="003F020A">
            <w:pPr>
              <w:pStyle w:val="Agendaitem"/>
              <w:rPr>
                <w:lang w:val="en-GB"/>
              </w:rPr>
            </w:pPr>
          </w:p>
        </w:tc>
      </w:tr>
    </w:tbl>
    <w:p w14:paraId="09F2152E" w14:textId="77777777" w:rsidR="009E1967" w:rsidRPr="0007477F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07477F" w14:paraId="654133CD" w14:textId="77777777" w:rsidTr="00E12847">
        <w:trPr>
          <w:cantSplit/>
          <w:trHeight w:val="709"/>
        </w:trPr>
        <w:tc>
          <w:tcPr>
            <w:tcW w:w="1912" w:type="dxa"/>
          </w:tcPr>
          <w:p w14:paraId="27234819" w14:textId="77777777" w:rsidR="009E1967" w:rsidRPr="00E12847" w:rsidRDefault="009E1967" w:rsidP="00D055D3">
            <w:r w:rsidRPr="00E12847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7DC5CE28401741E5BEB25992E4EB0A4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14:paraId="0F91BE60" w14:textId="13100EC3" w:rsidR="009E1967" w:rsidRPr="0007477F" w:rsidRDefault="00086CB6" w:rsidP="006714A3">
                <w:r w:rsidRPr="00E12847">
                  <w:t xml:space="preserve">This contribution lists the </w:t>
                </w:r>
                <w:r>
                  <w:t xml:space="preserve">common proposals of the </w:t>
                </w:r>
                <w:r w:rsidRPr="00E12847">
                  <w:t>RCC member countries</w:t>
                </w:r>
                <w:r>
                  <w:t xml:space="preserve"> for </w:t>
                </w:r>
                <w:r w:rsidRPr="00E12847">
                  <w:t>WTSA-20.</w:t>
                </w:r>
              </w:p>
            </w:tc>
          </w:sdtContent>
        </w:sdt>
      </w:tr>
    </w:tbl>
    <w:p w14:paraId="0FA91A0B" w14:textId="77777777" w:rsidR="00ED30BC" w:rsidRPr="0007477F" w:rsidRDefault="00ED30BC" w:rsidP="00A41A0D"/>
    <w:p w14:paraId="5DC595F3" w14:textId="77777777" w:rsidR="007943C6" w:rsidRPr="0007477F" w:rsidRDefault="007943C6" w:rsidP="007943C6">
      <w:pPr>
        <w:pStyle w:val="Headingb"/>
        <w:rPr>
          <w:lang w:val="en-GB"/>
        </w:rPr>
      </w:pPr>
      <w:r w:rsidRPr="0007477F">
        <w:rPr>
          <w:lang w:val="en-GB"/>
        </w:rPr>
        <w:t>Introduction</w:t>
      </w:r>
    </w:p>
    <w:p w14:paraId="00167887" w14:textId="138DB0CC" w:rsidR="007943C6" w:rsidRPr="0007477F" w:rsidRDefault="007943C6" w:rsidP="007943C6">
      <w:bookmarkStart w:id="0" w:name="_Hlk94611614"/>
      <w:r w:rsidRPr="0007477F">
        <w:t>As part of the review of the organization of the work of the ITU Standardization Sector (ITU-T), the ITU Member States whose administrations are members of the Regional Commonwealth in the field of Communications (RCC) submit the following proposals for the work of the</w:t>
      </w:r>
      <w:r w:rsidR="00E12847">
        <w:t xml:space="preserve"> </w:t>
      </w:r>
      <w:r w:rsidRPr="0007477F">
        <w:t>World Telecommunication Standardization Assembly (WTSA-20)</w:t>
      </w:r>
      <w:r w:rsidR="00E12847">
        <w:t xml:space="preserve"> to be held in 2022</w:t>
      </w:r>
      <w:r w:rsidR="00A4436F" w:rsidRPr="0007477F">
        <w:t>.</w:t>
      </w:r>
    </w:p>
    <w:bookmarkEnd w:id="0"/>
    <w:p w14:paraId="791A8012" w14:textId="77777777" w:rsidR="007943C6" w:rsidRPr="0007477F" w:rsidRDefault="007943C6" w:rsidP="007943C6"/>
    <w:p w14:paraId="08B0391E" w14:textId="77777777" w:rsidR="007943C6" w:rsidRPr="0007477F" w:rsidRDefault="007943C6" w:rsidP="007943C6"/>
    <w:p w14:paraId="6B8BD77D" w14:textId="7242F909" w:rsidR="007943C6" w:rsidRPr="0007477F" w:rsidRDefault="007943C6" w:rsidP="007943C6"/>
    <w:p w14:paraId="0E58C915" w14:textId="7F26D303" w:rsidR="007943C6" w:rsidRPr="0007477F" w:rsidRDefault="007943C6" w:rsidP="007943C6"/>
    <w:p w14:paraId="0F7A16A0" w14:textId="59C2A767" w:rsidR="007943C6" w:rsidRPr="0007477F" w:rsidRDefault="007943C6" w:rsidP="007943C6"/>
    <w:p w14:paraId="1B9D0BDD" w14:textId="72DCD0E8" w:rsidR="007943C6" w:rsidRPr="0007477F" w:rsidRDefault="007943C6" w:rsidP="007943C6"/>
    <w:p w14:paraId="1C475A41" w14:textId="785E40C2" w:rsidR="007943C6" w:rsidRPr="0007477F" w:rsidRDefault="007943C6" w:rsidP="007943C6"/>
    <w:p w14:paraId="52E747D0" w14:textId="0DBAE1CA" w:rsidR="007943C6" w:rsidRPr="0007477F" w:rsidRDefault="007943C6" w:rsidP="007943C6"/>
    <w:p w14:paraId="5574B316" w14:textId="77777777" w:rsidR="007943C6" w:rsidRPr="0007477F" w:rsidRDefault="007943C6" w:rsidP="007943C6"/>
    <w:p w14:paraId="6ED6BAF6" w14:textId="77777777" w:rsidR="007943C6" w:rsidRPr="0007477F" w:rsidRDefault="007943C6" w:rsidP="007943C6">
      <w:r w:rsidRPr="0007477F">
        <w:rPr>
          <w:b/>
          <w:bCs/>
        </w:rPr>
        <w:t>Annex</w:t>
      </w:r>
      <w:r w:rsidRPr="0007477F">
        <w:t>: 1</w:t>
      </w:r>
    </w:p>
    <w:p w14:paraId="3F6B6A5B" w14:textId="77777777" w:rsidR="0073132F" w:rsidRPr="0007477F" w:rsidRDefault="0073132F" w:rsidP="00A41A0D"/>
    <w:p w14:paraId="3B17937F" w14:textId="77777777" w:rsidR="007943C6" w:rsidRPr="0007477F" w:rsidRDefault="007943C6" w:rsidP="00A41A0D">
      <w:pPr>
        <w:sectPr w:rsidR="007943C6" w:rsidRPr="0007477F" w:rsidSect="008F7D1E">
          <w:headerReference w:type="default" r:id="rId9"/>
          <w:footerReference w:type="even" r:id="rId10"/>
          <w:type w:val="nextColumn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p w14:paraId="0BB660C0" w14:textId="14594438" w:rsidR="009A473A" w:rsidRDefault="009A473A" w:rsidP="009A473A">
      <w:pPr>
        <w:pStyle w:val="AnnexNo"/>
        <w:rPr>
          <w:rFonts w:eastAsia="Calibri"/>
        </w:rPr>
      </w:pPr>
      <w:r>
        <w:rPr>
          <w:rFonts w:eastAsia="Calibri"/>
        </w:rPr>
        <w:lastRenderedPageBreak/>
        <w:t>ANNEX</w:t>
      </w:r>
    </w:p>
    <w:p w14:paraId="651E8CE9" w14:textId="019E5EBA" w:rsidR="0073132F" w:rsidRDefault="007943C6" w:rsidP="007943C6">
      <w:pPr>
        <w:pStyle w:val="Annextitle"/>
        <w:rPr>
          <w:rFonts w:eastAsia="Calibri"/>
        </w:rPr>
      </w:pPr>
      <w:r w:rsidRPr="0007477F">
        <w:rPr>
          <w:rFonts w:eastAsia="Calibri"/>
        </w:rPr>
        <w:t>RCC participant countries supporting the common proposals for the work of WTSA-20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842"/>
        <w:gridCol w:w="7252"/>
        <w:gridCol w:w="1536"/>
      </w:tblGrid>
      <w:tr w:rsidR="008A5A2F" w:rsidRPr="001B4049" w14:paraId="4776AE42" w14:textId="77777777" w:rsidTr="00846038">
        <w:trPr>
          <w:tblHeader/>
        </w:trPr>
        <w:tc>
          <w:tcPr>
            <w:tcW w:w="851" w:type="dxa"/>
            <w:vAlign w:val="center"/>
          </w:tcPr>
          <w:p w14:paraId="4CBD9665" w14:textId="2DDEF4BF" w:rsidR="008A5A2F" w:rsidRPr="001B4049" w:rsidRDefault="008A5A2F" w:rsidP="007E5139">
            <w:pPr>
              <w:pStyle w:val="Tablehead"/>
            </w:pPr>
            <w:bookmarkStart w:id="1" w:name="_Hlk81236345"/>
            <w:r>
              <w:t>RCC</w:t>
            </w:r>
            <w:r>
              <w:br/>
            </w:r>
            <w:r w:rsidRPr="001B4049">
              <w:t>No.</w:t>
            </w:r>
          </w:p>
        </w:tc>
        <w:tc>
          <w:tcPr>
            <w:tcW w:w="7513" w:type="dxa"/>
            <w:vAlign w:val="center"/>
          </w:tcPr>
          <w:p w14:paraId="203F8A91" w14:textId="4718E282" w:rsidR="008A5A2F" w:rsidRPr="001B4049" w:rsidRDefault="008A5A2F" w:rsidP="007E5139">
            <w:pPr>
              <w:pStyle w:val="Tablehead"/>
            </w:pPr>
            <w:r>
              <w:t>RCC</w:t>
            </w:r>
            <w:r w:rsidRPr="001B4049">
              <w:t xml:space="preserve"> Title</w:t>
            </w:r>
          </w:p>
        </w:tc>
        <w:tc>
          <w:tcPr>
            <w:tcW w:w="1266" w:type="dxa"/>
            <w:vAlign w:val="center"/>
          </w:tcPr>
          <w:p w14:paraId="40B3A967" w14:textId="20B66327" w:rsidR="008A5A2F" w:rsidRPr="001B4049" w:rsidRDefault="008A5A2F" w:rsidP="00846038">
            <w:pPr>
              <w:pStyle w:val="Tablehead"/>
            </w:pPr>
          </w:p>
        </w:tc>
      </w:tr>
      <w:tr w:rsidR="008A5A2F" w:rsidRPr="001B4049" w14:paraId="610FC01B" w14:textId="77777777" w:rsidTr="00846038">
        <w:tc>
          <w:tcPr>
            <w:tcW w:w="851" w:type="dxa"/>
            <w:vAlign w:val="center"/>
            <w:hideMark/>
          </w:tcPr>
          <w:p w14:paraId="2F07EBA6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1</w:t>
            </w:r>
          </w:p>
        </w:tc>
        <w:tc>
          <w:tcPr>
            <w:tcW w:w="7513" w:type="dxa"/>
            <w:hideMark/>
          </w:tcPr>
          <w:p w14:paraId="5BEC3F5B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Suppression of Resolution 35</w:t>
            </w:r>
          </w:p>
          <w:p w14:paraId="2C0832E4" w14:textId="11476B71" w:rsidR="008A5A2F" w:rsidRPr="001B4049" w:rsidRDefault="008A5A2F" w:rsidP="008A5A2F">
            <w:pPr>
              <w:pStyle w:val="Tabletext"/>
            </w:pPr>
            <w:r w:rsidRPr="007E29B9">
              <w:t>"Appointment and maximum term of office for chairmen and vice</w:t>
            </w:r>
            <w:r w:rsidRPr="007E29B9">
              <w:noBreakHyphen/>
              <w:t>chairmen of study groups of the Telecommunication Standardization Sector and of the Telecommunication Standardization Advisory Group"</w:t>
            </w:r>
          </w:p>
        </w:tc>
        <w:tc>
          <w:tcPr>
            <w:tcW w:w="1266" w:type="dxa"/>
            <w:vAlign w:val="center"/>
          </w:tcPr>
          <w:p w14:paraId="51952094" w14:textId="66788E1B" w:rsidR="008A5A2F" w:rsidRPr="001B4049" w:rsidRDefault="008A5A2F" w:rsidP="00846038">
            <w:pPr>
              <w:pStyle w:val="Tabletext"/>
              <w:jc w:val="center"/>
            </w:pPr>
            <w:r w:rsidRPr="007E29B9">
              <w:t>Rules and procedures</w:t>
            </w:r>
          </w:p>
        </w:tc>
      </w:tr>
      <w:tr w:rsidR="008A5A2F" w:rsidRPr="001B4049" w14:paraId="6ADE9AE6" w14:textId="77777777" w:rsidTr="00846038">
        <w:tc>
          <w:tcPr>
            <w:tcW w:w="851" w:type="dxa"/>
            <w:vAlign w:val="center"/>
            <w:hideMark/>
          </w:tcPr>
          <w:p w14:paraId="3449ACB1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2</w:t>
            </w:r>
          </w:p>
        </w:tc>
        <w:tc>
          <w:tcPr>
            <w:tcW w:w="7513" w:type="dxa"/>
            <w:hideMark/>
          </w:tcPr>
          <w:p w14:paraId="79A1599E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Modifications to Resolution 43</w:t>
            </w:r>
          </w:p>
          <w:p w14:paraId="0972D6D3" w14:textId="3DF80A65" w:rsidR="008A5A2F" w:rsidRPr="001B4049" w:rsidRDefault="008A5A2F" w:rsidP="008A5A2F">
            <w:pPr>
              <w:pStyle w:val="Tabletext"/>
            </w:pPr>
            <w:r w:rsidRPr="007E29B9">
              <w:t>"Regional preparations for world telecommunication standardization assemblies"</w:t>
            </w:r>
          </w:p>
        </w:tc>
        <w:tc>
          <w:tcPr>
            <w:tcW w:w="1266" w:type="dxa"/>
            <w:vAlign w:val="center"/>
          </w:tcPr>
          <w:p w14:paraId="15A80BEF" w14:textId="5F3F21DD" w:rsidR="008A5A2F" w:rsidRPr="001B4049" w:rsidRDefault="008A5A2F" w:rsidP="00846038">
            <w:pPr>
              <w:pStyle w:val="Tabletext"/>
              <w:jc w:val="center"/>
            </w:pPr>
            <w:r w:rsidRPr="007E29B9">
              <w:t>Administrative</w:t>
            </w:r>
          </w:p>
        </w:tc>
      </w:tr>
      <w:tr w:rsidR="008A5A2F" w:rsidRPr="001B4049" w14:paraId="4523C68E" w14:textId="77777777" w:rsidTr="00846038">
        <w:tc>
          <w:tcPr>
            <w:tcW w:w="851" w:type="dxa"/>
            <w:vAlign w:val="center"/>
            <w:hideMark/>
          </w:tcPr>
          <w:p w14:paraId="78E969E7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3</w:t>
            </w:r>
          </w:p>
        </w:tc>
        <w:tc>
          <w:tcPr>
            <w:tcW w:w="7513" w:type="dxa"/>
            <w:hideMark/>
          </w:tcPr>
          <w:p w14:paraId="56FE2E49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Modifications to Resolution 67</w:t>
            </w:r>
          </w:p>
          <w:p w14:paraId="2D90C8F7" w14:textId="704297BC" w:rsidR="008A5A2F" w:rsidRPr="001B4049" w:rsidRDefault="008A5A2F" w:rsidP="008A5A2F">
            <w:pPr>
              <w:pStyle w:val="Tabletext"/>
            </w:pPr>
            <w:r w:rsidRPr="007E29B9">
              <w:t>"Use in the ITU Telecommunication Standardization Sector of the languages of the Union on an equal footing"</w:t>
            </w:r>
          </w:p>
        </w:tc>
        <w:tc>
          <w:tcPr>
            <w:tcW w:w="1266" w:type="dxa"/>
            <w:vAlign w:val="center"/>
          </w:tcPr>
          <w:p w14:paraId="267A83EC" w14:textId="53C438CB" w:rsidR="008A5A2F" w:rsidRPr="001B4049" w:rsidRDefault="008A5A2F" w:rsidP="00846038">
            <w:pPr>
              <w:pStyle w:val="Tabletext"/>
              <w:jc w:val="center"/>
            </w:pPr>
            <w:r w:rsidRPr="007E29B9">
              <w:t>Administrative</w:t>
            </w:r>
          </w:p>
        </w:tc>
      </w:tr>
      <w:tr w:rsidR="008A5A2F" w:rsidRPr="001B4049" w14:paraId="1953154E" w14:textId="77777777" w:rsidTr="00846038">
        <w:tc>
          <w:tcPr>
            <w:tcW w:w="851" w:type="dxa"/>
            <w:vAlign w:val="center"/>
            <w:hideMark/>
          </w:tcPr>
          <w:p w14:paraId="08851CEA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4</w:t>
            </w:r>
          </w:p>
        </w:tc>
        <w:tc>
          <w:tcPr>
            <w:tcW w:w="7513" w:type="dxa"/>
            <w:hideMark/>
          </w:tcPr>
          <w:p w14:paraId="09444F26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Modifications to Resolution 75</w:t>
            </w:r>
          </w:p>
          <w:p w14:paraId="75B302FD" w14:textId="1C9D1C67" w:rsidR="008A5A2F" w:rsidRPr="001B4049" w:rsidRDefault="008A5A2F" w:rsidP="008A5A2F">
            <w:pPr>
              <w:pStyle w:val="Tabletext"/>
            </w:pPr>
            <w:r w:rsidRPr="007E29B9">
              <w:t>"The ITU Telecommunication Standardization Sector's contribution in implementing the outcomes of the World Summit on the Information Society, taking into account the 2030 Agenda for Sustainable Development"</w:t>
            </w:r>
          </w:p>
        </w:tc>
        <w:tc>
          <w:tcPr>
            <w:tcW w:w="1266" w:type="dxa"/>
            <w:vAlign w:val="center"/>
          </w:tcPr>
          <w:p w14:paraId="6F8696C6" w14:textId="4F8FE007" w:rsidR="008A5A2F" w:rsidRPr="001B4049" w:rsidRDefault="008A5A2F" w:rsidP="00846038">
            <w:pPr>
              <w:pStyle w:val="Tabletext"/>
              <w:jc w:val="center"/>
            </w:pPr>
            <w:r w:rsidRPr="007E29B9">
              <w:t>General</w:t>
            </w:r>
          </w:p>
        </w:tc>
      </w:tr>
      <w:tr w:rsidR="008A5A2F" w:rsidRPr="001B4049" w14:paraId="190FD228" w14:textId="77777777" w:rsidTr="00846038">
        <w:tc>
          <w:tcPr>
            <w:tcW w:w="851" w:type="dxa"/>
            <w:vAlign w:val="center"/>
            <w:hideMark/>
          </w:tcPr>
          <w:p w14:paraId="2365100E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5</w:t>
            </w:r>
          </w:p>
        </w:tc>
        <w:tc>
          <w:tcPr>
            <w:tcW w:w="7513" w:type="dxa"/>
            <w:hideMark/>
          </w:tcPr>
          <w:p w14:paraId="7EF28563" w14:textId="77777777" w:rsidR="008A5A2F" w:rsidRPr="007E29B9" w:rsidRDefault="008A5A2F" w:rsidP="008A5A2F">
            <w:pPr>
              <w:pStyle w:val="Tabletext"/>
              <w:keepNext/>
              <w:keepLines/>
              <w:rPr>
                <w:b/>
              </w:rPr>
            </w:pPr>
            <w:r w:rsidRPr="007E29B9">
              <w:rPr>
                <w:b/>
              </w:rPr>
              <w:t>Modifications to Resolution 1</w:t>
            </w:r>
          </w:p>
          <w:p w14:paraId="77259DD5" w14:textId="38F43029" w:rsidR="008A5A2F" w:rsidRPr="001B4049" w:rsidRDefault="008A5A2F" w:rsidP="008A5A2F">
            <w:pPr>
              <w:pStyle w:val="Tabletext"/>
            </w:pPr>
            <w:r w:rsidRPr="007E29B9">
              <w:t>"Rules of procedure of the ITU Telecommunication Standardization Sector"</w:t>
            </w:r>
          </w:p>
        </w:tc>
        <w:tc>
          <w:tcPr>
            <w:tcW w:w="1266" w:type="dxa"/>
            <w:vAlign w:val="center"/>
          </w:tcPr>
          <w:p w14:paraId="7924EFC8" w14:textId="4FB42E7F" w:rsidR="008A5A2F" w:rsidRPr="001B4049" w:rsidRDefault="008A5A2F" w:rsidP="00846038">
            <w:pPr>
              <w:pStyle w:val="Tabletext"/>
              <w:jc w:val="center"/>
            </w:pPr>
            <w:r w:rsidRPr="007E29B9">
              <w:t>Rules and procedures</w:t>
            </w:r>
          </w:p>
        </w:tc>
      </w:tr>
      <w:tr w:rsidR="008A5A2F" w:rsidRPr="001B4049" w14:paraId="2AD23C82" w14:textId="77777777" w:rsidTr="00846038">
        <w:tc>
          <w:tcPr>
            <w:tcW w:w="851" w:type="dxa"/>
            <w:vAlign w:val="center"/>
            <w:hideMark/>
          </w:tcPr>
          <w:p w14:paraId="0EFDFDCF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6</w:t>
            </w:r>
          </w:p>
        </w:tc>
        <w:tc>
          <w:tcPr>
            <w:tcW w:w="7513" w:type="dxa"/>
            <w:hideMark/>
          </w:tcPr>
          <w:p w14:paraId="0F8B8F64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Modifications to Resolution 18</w:t>
            </w:r>
          </w:p>
          <w:p w14:paraId="40FEA74B" w14:textId="780899A9" w:rsidR="008A5A2F" w:rsidRPr="001B4049" w:rsidRDefault="008A5A2F" w:rsidP="008A5A2F">
            <w:pPr>
              <w:pStyle w:val="Tabletext"/>
            </w:pPr>
            <w:r w:rsidRPr="007E29B9">
              <w:t>"Principles and procedures for the allocation of work to, and strengthening coordination and cooperation among, the ITU Radiocommunication, ITU Telecommunication Standardization and ITU Telecommunication Development Sectors"</w:t>
            </w:r>
          </w:p>
        </w:tc>
        <w:tc>
          <w:tcPr>
            <w:tcW w:w="1266" w:type="dxa"/>
            <w:vAlign w:val="center"/>
          </w:tcPr>
          <w:p w14:paraId="0464D1D3" w14:textId="1F950CBC" w:rsidR="008A5A2F" w:rsidRPr="001B4049" w:rsidRDefault="008A5A2F" w:rsidP="00846038">
            <w:pPr>
              <w:pStyle w:val="Tabletext"/>
              <w:jc w:val="center"/>
            </w:pPr>
            <w:r w:rsidRPr="007E29B9">
              <w:t>Collaboration and coordination</w:t>
            </w:r>
          </w:p>
        </w:tc>
      </w:tr>
      <w:tr w:rsidR="008A5A2F" w:rsidRPr="001B4049" w14:paraId="5202ADB9" w14:textId="77777777" w:rsidTr="00846038">
        <w:tc>
          <w:tcPr>
            <w:tcW w:w="851" w:type="dxa"/>
            <w:vAlign w:val="center"/>
            <w:hideMark/>
          </w:tcPr>
          <w:p w14:paraId="5E680B2F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7</w:t>
            </w:r>
          </w:p>
        </w:tc>
        <w:tc>
          <w:tcPr>
            <w:tcW w:w="7513" w:type="dxa"/>
            <w:hideMark/>
          </w:tcPr>
          <w:p w14:paraId="64F1FFF4" w14:textId="77777777" w:rsidR="008A5A2F" w:rsidRPr="007E29B9" w:rsidRDefault="008A5A2F" w:rsidP="008A5A2F">
            <w:pPr>
              <w:pStyle w:val="Tabletext"/>
              <w:rPr>
                <w:b/>
                <w:bCs/>
              </w:rPr>
            </w:pPr>
            <w:r w:rsidRPr="007E29B9">
              <w:rPr>
                <w:b/>
                <w:bCs/>
              </w:rPr>
              <w:t>Modifications to Resolution 44</w:t>
            </w:r>
          </w:p>
          <w:p w14:paraId="5882009C" w14:textId="32F520F6" w:rsidR="008A5A2F" w:rsidRPr="001B4049" w:rsidRDefault="008A5A2F" w:rsidP="008A5A2F">
            <w:pPr>
              <w:pStyle w:val="Tabletext"/>
            </w:pPr>
            <w:r w:rsidRPr="007E29B9">
              <w:t>"Bridging the standardization gap between developing and developed countries"</w:t>
            </w:r>
          </w:p>
        </w:tc>
        <w:tc>
          <w:tcPr>
            <w:tcW w:w="1266" w:type="dxa"/>
            <w:vAlign w:val="center"/>
          </w:tcPr>
          <w:p w14:paraId="0E5E4827" w14:textId="5478A72B" w:rsidR="008A5A2F" w:rsidRPr="001B4049" w:rsidRDefault="008A5A2F" w:rsidP="00846038">
            <w:pPr>
              <w:pStyle w:val="Tabletext"/>
              <w:jc w:val="center"/>
            </w:pPr>
            <w:r w:rsidRPr="007E29B9">
              <w:t>General</w:t>
            </w:r>
          </w:p>
        </w:tc>
      </w:tr>
      <w:tr w:rsidR="008A5A2F" w:rsidRPr="001B4049" w14:paraId="5E4DE554" w14:textId="77777777" w:rsidTr="00846038">
        <w:tc>
          <w:tcPr>
            <w:tcW w:w="851" w:type="dxa"/>
            <w:vAlign w:val="center"/>
            <w:hideMark/>
          </w:tcPr>
          <w:p w14:paraId="4BCF7CD4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8</w:t>
            </w:r>
          </w:p>
        </w:tc>
        <w:tc>
          <w:tcPr>
            <w:tcW w:w="7513" w:type="dxa"/>
            <w:hideMark/>
          </w:tcPr>
          <w:p w14:paraId="38787D05" w14:textId="77777777" w:rsidR="008A5A2F" w:rsidRPr="007E29B9" w:rsidRDefault="008A5A2F" w:rsidP="008A5A2F">
            <w:pPr>
              <w:pStyle w:val="Tabletext"/>
              <w:rPr>
                <w:b/>
                <w:color w:val="000000"/>
                <w:w w:val="105"/>
              </w:rPr>
            </w:pPr>
            <w:r w:rsidRPr="007E29B9">
              <w:rPr>
                <w:b/>
                <w:color w:val="000000"/>
                <w:w w:val="105"/>
              </w:rPr>
              <w:t>Modifications to Resolution 50</w:t>
            </w:r>
          </w:p>
          <w:p w14:paraId="71F4BD0F" w14:textId="01610BBA" w:rsidR="008A5A2F" w:rsidRPr="001B4049" w:rsidRDefault="008A5A2F" w:rsidP="008A5A2F">
            <w:pPr>
              <w:pStyle w:val="Tabletext"/>
            </w:pPr>
            <w:r w:rsidRPr="007E29B9">
              <w:rPr>
                <w:color w:val="000000"/>
                <w:w w:val="105"/>
              </w:rPr>
              <w:t>"Cybersecurity"</w:t>
            </w:r>
          </w:p>
        </w:tc>
        <w:tc>
          <w:tcPr>
            <w:tcW w:w="1266" w:type="dxa"/>
            <w:vAlign w:val="center"/>
          </w:tcPr>
          <w:p w14:paraId="5505E5CE" w14:textId="50063EFC" w:rsidR="008A5A2F" w:rsidRPr="001B4049" w:rsidRDefault="008A5A2F" w:rsidP="00846038">
            <w:pPr>
              <w:pStyle w:val="Tabletext"/>
              <w:jc w:val="center"/>
            </w:pPr>
            <w:r w:rsidRPr="007E29B9">
              <w:t>Thematic</w:t>
            </w:r>
          </w:p>
        </w:tc>
      </w:tr>
      <w:tr w:rsidR="008A5A2F" w:rsidRPr="001B4049" w14:paraId="3AA6C468" w14:textId="77777777" w:rsidTr="00846038">
        <w:tc>
          <w:tcPr>
            <w:tcW w:w="851" w:type="dxa"/>
            <w:vAlign w:val="center"/>
            <w:hideMark/>
          </w:tcPr>
          <w:p w14:paraId="6D63AB05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9</w:t>
            </w:r>
          </w:p>
        </w:tc>
        <w:tc>
          <w:tcPr>
            <w:tcW w:w="7513" w:type="dxa"/>
            <w:hideMark/>
          </w:tcPr>
          <w:p w14:paraId="6E4D83C3" w14:textId="77777777" w:rsidR="008A5A2F" w:rsidRPr="007E29B9" w:rsidRDefault="008A5A2F" w:rsidP="008A5A2F">
            <w:pPr>
              <w:pStyle w:val="Tabletext"/>
              <w:rPr>
                <w:b/>
                <w:color w:val="000000"/>
                <w:w w:val="105"/>
              </w:rPr>
            </w:pPr>
            <w:r w:rsidRPr="007E29B9">
              <w:rPr>
                <w:b/>
                <w:color w:val="000000"/>
                <w:w w:val="105"/>
              </w:rPr>
              <w:t>Modifications to Resolution 52</w:t>
            </w:r>
          </w:p>
          <w:p w14:paraId="23A4C10D" w14:textId="2EC4C630" w:rsidR="008A5A2F" w:rsidRPr="001B4049" w:rsidRDefault="008A5A2F" w:rsidP="008A5A2F">
            <w:pPr>
              <w:pStyle w:val="Tabletext"/>
            </w:pPr>
            <w:r w:rsidRPr="007E29B9">
              <w:rPr>
                <w:color w:val="000000"/>
                <w:w w:val="105"/>
              </w:rPr>
              <w:t>"Countering and combating spam"</w:t>
            </w:r>
          </w:p>
        </w:tc>
        <w:tc>
          <w:tcPr>
            <w:tcW w:w="1266" w:type="dxa"/>
            <w:vAlign w:val="center"/>
          </w:tcPr>
          <w:p w14:paraId="028EC84C" w14:textId="3131AD62" w:rsidR="008A5A2F" w:rsidRPr="001B4049" w:rsidRDefault="008A5A2F" w:rsidP="00846038">
            <w:pPr>
              <w:pStyle w:val="Tabletext"/>
              <w:jc w:val="center"/>
            </w:pPr>
            <w:r w:rsidRPr="007E29B9">
              <w:t>Thematic</w:t>
            </w:r>
          </w:p>
        </w:tc>
      </w:tr>
      <w:tr w:rsidR="008A5A2F" w:rsidRPr="001B4049" w14:paraId="2C24E14B" w14:textId="77777777" w:rsidTr="00846038">
        <w:tc>
          <w:tcPr>
            <w:tcW w:w="851" w:type="dxa"/>
            <w:vAlign w:val="center"/>
            <w:hideMark/>
          </w:tcPr>
          <w:p w14:paraId="2AC9977C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10</w:t>
            </w:r>
          </w:p>
        </w:tc>
        <w:tc>
          <w:tcPr>
            <w:tcW w:w="7513" w:type="dxa"/>
            <w:hideMark/>
          </w:tcPr>
          <w:p w14:paraId="228F7766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Modifications to Resolution 54</w:t>
            </w:r>
          </w:p>
          <w:p w14:paraId="12C54864" w14:textId="74E4538D" w:rsidR="008A5A2F" w:rsidRPr="001B4049" w:rsidRDefault="008A5A2F" w:rsidP="008A5A2F">
            <w:pPr>
              <w:pStyle w:val="Tabletext"/>
            </w:pPr>
            <w:r w:rsidRPr="007E29B9">
              <w:rPr>
                <w:color w:val="000000"/>
                <w:w w:val="105"/>
              </w:rPr>
              <w:t>"Creation of, and assistance to, regional groups"</w:t>
            </w:r>
          </w:p>
        </w:tc>
        <w:tc>
          <w:tcPr>
            <w:tcW w:w="1266" w:type="dxa"/>
            <w:vAlign w:val="center"/>
          </w:tcPr>
          <w:p w14:paraId="3576DDB9" w14:textId="65C78D6B" w:rsidR="008A5A2F" w:rsidRPr="001B4049" w:rsidRDefault="008A5A2F" w:rsidP="00846038">
            <w:pPr>
              <w:pStyle w:val="Tabletext"/>
              <w:jc w:val="center"/>
            </w:pPr>
            <w:r w:rsidRPr="007E29B9">
              <w:t>Rules and procedures</w:t>
            </w:r>
          </w:p>
        </w:tc>
      </w:tr>
      <w:tr w:rsidR="008A5A2F" w:rsidRPr="001B4049" w14:paraId="766FAC52" w14:textId="77777777" w:rsidTr="00846038">
        <w:tc>
          <w:tcPr>
            <w:tcW w:w="851" w:type="dxa"/>
            <w:vAlign w:val="center"/>
            <w:hideMark/>
          </w:tcPr>
          <w:p w14:paraId="1DE3C0FB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11</w:t>
            </w:r>
          </w:p>
        </w:tc>
        <w:tc>
          <w:tcPr>
            <w:tcW w:w="7513" w:type="dxa"/>
            <w:hideMark/>
          </w:tcPr>
          <w:p w14:paraId="4B5A41C3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Modifications to Resolution 70</w:t>
            </w:r>
          </w:p>
          <w:p w14:paraId="456F22A4" w14:textId="6099BD2A" w:rsidR="008A5A2F" w:rsidRPr="001B4049" w:rsidRDefault="008A5A2F" w:rsidP="008A5A2F">
            <w:pPr>
              <w:pStyle w:val="Tabletext"/>
            </w:pPr>
            <w:r w:rsidRPr="007E29B9">
              <w:t>"Telecommunication/information and communication technology accessibility for persons with disabilities and persons with specific needs"</w:t>
            </w:r>
          </w:p>
        </w:tc>
        <w:tc>
          <w:tcPr>
            <w:tcW w:w="1266" w:type="dxa"/>
            <w:vAlign w:val="center"/>
          </w:tcPr>
          <w:p w14:paraId="5390D607" w14:textId="2E88A053" w:rsidR="008A5A2F" w:rsidRPr="001B4049" w:rsidRDefault="008A5A2F" w:rsidP="00846038">
            <w:pPr>
              <w:pStyle w:val="Tabletext"/>
              <w:jc w:val="center"/>
            </w:pPr>
            <w:r w:rsidRPr="007E29B9">
              <w:t>General</w:t>
            </w:r>
          </w:p>
        </w:tc>
      </w:tr>
      <w:tr w:rsidR="008A5A2F" w:rsidRPr="001B4049" w14:paraId="68761DF8" w14:textId="77777777" w:rsidTr="00846038">
        <w:tc>
          <w:tcPr>
            <w:tcW w:w="851" w:type="dxa"/>
            <w:vAlign w:val="center"/>
            <w:hideMark/>
          </w:tcPr>
          <w:p w14:paraId="3532C791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12</w:t>
            </w:r>
          </w:p>
        </w:tc>
        <w:tc>
          <w:tcPr>
            <w:tcW w:w="7513" w:type="dxa"/>
            <w:hideMark/>
          </w:tcPr>
          <w:p w14:paraId="278766D0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Modifications to Resolution 72</w:t>
            </w:r>
          </w:p>
          <w:p w14:paraId="781ED03A" w14:textId="107FFE80" w:rsidR="008A5A2F" w:rsidRPr="001B4049" w:rsidRDefault="008A5A2F" w:rsidP="008A5A2F">
            <w:pPr>
              <w:pStyle w:val="Tabletext"/>
            </w:pPr>
            <w:r w:rsidRPr="007E29B9">
              <w:t>"Measurement and assessment concerns related to human exposure to electromagnetic fields"</w:t>
            </w:r>
          </w:p>
        </w:tc>
        <w:tc>
          <w:tcPr>
            <w:tcW w:w="1266" w:type="dxa"/>
            <w:vAlign w:val="center"/>
          </w:tcPr>
          <w:p w14:paraId="51273702" w14:textId="796AA04A" w:rsidR="008A5A2F" w:rsidRPr="001B4049" w:rsidRDefault="008A5A2F" w:rsidP="00846038">
            <w:pPr>
              <w:pStyle w:val="Tabletext"/>
              <w:jc w:val="center"/>
            </w:pPr>
            <w:r w:rsidRPr="007E29B9">
              <w:t>Thematic</w:t>
            </w:r>
          </w:p>
        </w:tc>
      </w:tr>
      <w:tr w:rsidR="008A5A2F" w:rsidRPr="001B4049" w14:paraId="44BEAB5D" w14:textId="77777777" w:rsidTr="00846038">
        <w:tc>
          <w:tcPr>
            <w:tcW w:w="851" w:type="dxa"/>
            <w:vAlign w:val="center"/>
            <w:hideMark/>
          </w:tcPr>
          <w:p w14:paraId="16688F8F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13</w:t>
            </w:r>
          </w:p>
        </w:tc>
        <w:tc>
          <w:tcPr>
            <w:tcW w:w="7513" w:type="dxa"/>
            <w:hideMark/>
          </w:tcPr>
          <w:p w14:paraId="26D26C40" w14:textId="77777777" w:rsidR="008A5A2F" w:rsidRPr="007E29B9" w:rsidRDefault="008A5A2F" w:rsidP="008A5A2F">
            <w:pPr>
              <w:pStyle w:val="Tabletext"/>
              <w:keepNext/>
              <w:keepLines/>
              <w:rPr>
                <w:b/>
              </w:rPr>
            </w:pPr>
            <w:r w:rsidRPr="007E29B9">
              <w:rPr>
                <w:b/>
              </w:rPr>
              <w:t>Modifications to Resolution 73</w:t>
            </w:r>
          </w:p>
          <w:p w14:paraId="445819F8" w14:textId="718FAC0A" w:rsidR="008A5A2F" w:rsidRPr="001B4049" w:rsidRDefault="008A5A2F" w:rsidP="008A5A2F">
            <w:pPr>
              <w:pStyle w:val="Tabletext"/>
            </w:pPr>
            <w:r w:rsidRPr="007E29B9">
              <w:t>"Information and communication technologies, environment and climate change"</w:t>
            </w:r>
          </w:p>
        </w:tc>
        <w:tc>
          <w:tcPr>
            <w:tcW w:w="1266" w:type="dxa"/>
            <w:vAlign w:val="center"/>
          </w:tcPr>
          <w:p w14:paraId="02E921B4" w14:textId="735155E4" w:rsidR="008A5A2F" w:rsidRPr="001B4049" w:rsidRDefault="008A5A2F" w:rsidP="00846038">
            <w:pPr>
              <w:pStyle w:val="Tabletext"/>
              <w:jc w:val="center"/>
            </w:pPr>
            <w:r w:rsidRPr="007E29B9">
              <w:t>Thematic</w:t>
            </w:r>
          </w:p>
        </w:tc>
      </w:tr>
      <w:tr w:rsidR="008A5A2F" w:rsidRPr="001B4049" w14:paraId="34171EC1" w14:textId="77777777" w:rsidTr="00846038">
        <w:tc>
          <w:tcPr>
            <w:tcW w:w="851" w:type="dxa"/>
            <w:vAlign w:val="center"/>
            <w:hideMark/>
          </w:tcPr>
          <w:p w14:paraId="61C0F8BC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lastRenderedPageBreak/>
              <w:t>14</w:t>
            </w:r>
          </w:p>
        </w:tc>
        <w:tc>
          <w:tcPr>
            <w:tcW w:w="7513" w:type="dxa"/>
            <w:hideMark/>
          </w:tcPr>
          <w:p w14:paraId="21BCA477" w14:textId="77777777" w:rsidR="008A5A2F" w:rsidRPr="007E29B9" w:rsidRDefault="008A5A2F" w:rsidP="008A5A2F">
            <w:pPr>
              <w:pStyle w:val="Tabletext"/>
              <w:keepNext/>
              <w:keepLines/>
              <w:rPr>
                <w:b/>
              </w:rPr>
            </w:pPr>
            <w:bookmarkStart w:id="2" w:name="_Toc475345312"/>
            <w:r w:rsidRPr="007E29B9">
              <w:rPr>
                <w:b/>
              </w:rPr>
              <w:t>Modifications to Resolution 87</w:t>
            </w:r>
          </w:p>
          <w:p w14:paraId="43132EFF" w14:textId="5CFE3236" w:rsidR="008A5A2F" w:rsidRPr="001B4049" w:rsidRDefault="008A5A2F" w:rsidP="008A5A2F">
            <w:pPr>
              <w:pStyle w:val="Tabletext"/>
            </w:pPr>
            <w:r w:rsidRPr="007E29B9">
              <w:t>"</w:t>
            </w:r>
            <w:r w:rsidRPr="007E29B9">
              <w:rPr>
                <w:bCs/>
              </w:rPr>
              <w:t>Participation</w:t>
            </w:r>
            <w:r w:rsidRPr="007E29B9">
              <w:t xml:space="preserve"> of the ITU Telecommunication Standardization Sector in the periodic review and revision of the International Telecommunication Regulations</w:t>
            </w:r>
            <w:bookmarkEnd w:id="2"/>
            <w:r w:rsidRPr="007E29B9">
              <w:t>"</w:t>
            </w:r>
          </w:p>
        </w:tc>
        <w:tc>
          <w:tcPr>
            <w:tcW w:w="1266" w:type="dxa"/>
            <w:vAlign w:val="center"/>
          </w:tcPr>
          <w:p w14:paraId="51FEB94A" w14:textId="7C12CD61" w:rsidR="008A5A2F" w:rsidRPr="001B4049" w:rsidRDefault="008A5A2F" w:rsidP="00846038">
            <w:pPr>
              <w:pStyle w:val="Tabletext"/>
              <w:jc w:val="center"/>
            </w:pPr>
            <w:r w:rsidRPr="007E29B9">
              <w:t>General</w:t>
            </w:r>
          </w:p>
        </w:tc>
      </w:tr>
      <w:tr w:rsidR="008A5A2F" w:rsidRPr="001B4049" w14:paraId="7A994C6A" w14:textId="77777777" w:rsidTr="00846038">
        <w:tc>
          <w:tcPr>
            <w:tcW w:w="851" w:type="dxa"/>
            <w:vAlign w:val="center"/>
            <w:hideMark/>
          </w:tcPr>
          <w:p w14:paraId="7603A7E7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15</w:t>
            </w:r>
          </w:p>
        </w:tc>
        <w:tc>
          <w:tcPr>
            <w:tcW w:w="7513" w:type="dxa"/>
            <w:hideMark/>
          </w:tcPr>
          <w:p w14:paraId="09866E9C" w14:textId="77777777" w:rsidR="008A5A2F" w:rsidRPr="007E29B9" w:rsidRDefault="008A5A2F" w:rsidP="008A5A2F">
            <w:pPr>
              <w:pStyle w:val="Tabletext"/>
              <w:keepNext/>
              <w:keepLines/>
              <w:rPr>
                <w:b/>
              </w:rPr>
            </w:pPr>
            <w:r w:rsidRPr="007E29B9">
              <w:rPr>
                <w:b/>
              </w:rPr>
              <w:t xml:space="preserve">Modifications to Resolution 90 </w:t>
            </w:r>
          </w:p>
          <w:p w14:paraId="054D484D" w14:textId="054E1D55" w:rsidR="008A5A2F" w:rsidRPr="001B4049" w:rsidRDefault="008A5A2F" w:rsidP="008A5A2F">
            <w:pPr>
              <w:pStyle w:val="Tabletext"/>
            </w:pPr>
            <w:r w:rsidRPr="007E29B9">
              <w:t>"Open source in the ITU Telecommunication Standardization Sector"</w:t>
            </w:r>
          </w:p>
        </w:tc>
        <w:tc>
          <w:tcPr>
            <w:tcW w:w="1266" w:type="dxa"/>
            <w:vAlign w:val="center"/>
          </w:tcPr>
          <w:p w14:paraId="00DB5D5C" w14:textId="4765B3D5" w:rsidR="008A5A2F" w:rsidRPr="001B4049" w:rsidRDefault="008A5A2F" w:rsidP="00846038">
            <w:pPr>
              <w:pStyle w:val="Tabletext"/>
              <w:jc w:val="center"/>
            </w:pPr>
            <w:r w:rsidRPr="007E29B9">
              <w:t>Thematic</w:t>
            </w:r>
          </w:p>
        </w:tc>
      </w:tr>
      <w:tr w:rsidR="008A5A2F" w:rsidRPr="001B4049" w14:paraId="27A137A1" w14:textId="77777777" w:rsidTr="00846038">
        <w:tc>
          <w:tcPr>
            <w:tcW w:w="851" w:type="dxa"/>
            <w:vAlign w:val="center"/>
            <w:hideMark/>
          </w:tcPr>
          <w:p w14:paraId="66156EF9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16</w:t>
            </w:r>
          </w:p>
        </w:tc>
        <w:tc>
          <w:tcPr>
            <w:tcW w:w="7513" w:type="dxa"/>
            <w:hideMark/>
          </w:tcPr>
          <w:p w14:paraId="345C76B8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Modifications to Resolution 92</w:t>
            </w:r>
          </w:p>
          <w:p w14:paraId="5F4F448F" w14:textId="5A435240" w:rsidR="008A5A2F" w:rsidRPr="001B4049" w:rsidRDefault="008A5A2F" w:rsidP="008A5A2F">
            <w:pPr>
              <w:pStyle w:val="Tabletext"/>
            </w:pPr>
            <w:r w:rsidRPr="007E29B9">
              <w:t>"Enhancing the standardization activities in the ITU Telecommunication Standardization Sector related to non-radio aspects of international mobile telecommunications"</w:t>
            </w:r>
          </w:p>
        </w:tc>
        <w:tc>
          <w:tcPr>
            <w:tcW w:w="1266" w:type="dxa"/>
            <w:vAlign w:val="center"/>
          </w:tcPr>
          <w:p w14:paraId="7F0616AF" w14:textId="5115CC53" w:rsidR="008A5A2F" w:rsidRPr="001B4049" w:rsidRDefault="008A5A2F" w:rsidP="00846038">
            <w:pPr>
              <w:pStyle w:val="Tabletext"/>
              <w:jc w:val="center"/>
            </w:pPr>
            <w:r w:rsidRPr="007E29B9">
              <w:t>Thematic</w:t>
            </w:r>
          </w:p>
        </w:tc>
      </w:tr>
      <w:tr w:rsidR="008A5A2F" w:rsidRPr="001B4049" w14:paraId="52CE8AA0" w14:textId="77777777" w:rsidTr="00846038">
        <w:tc>
          <w:tcPr>
            <w:tcW w:w="851" w:type="dxa"/>
            <w:vAlign w:val="center"/>
            <w:hideMark/>
          </w:tcPr>
          <w:p w14:paraId="6EDFDF4C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17</w:t>
            </w:r>
          </w:p>
        </w:tc>
        <w:tc>
          <w:tcPr>
            <w:tcW w:w="7513" w:type="dxa"/>
            <w:hideMark/>
          </w:tcPr>
          <w:p w14:paraId="1D864F36" w14:textId="08262A3D" w:rsidR="008A5A2F" w:rsidRPr="001B4049" w:rsidRDefault="008A5A2F" w:rsidP="008A5A2F">
            <w:pPr>
              <w:pStyle w:val="Tabletext"/>
            </w:pPr>
            <w:r w:rsidRPr="007E29B9">
              <w:rPr>
                <w:b/>
              </w:rPr>
              <w:t>Proposals for the optimization and restructuring of the work of ITU-T study groups</w:t>
            </w:r>
          </w:p>
        </w:tc>
        <w:tc>
          <w:tcPr>
            <w:tcW w:w="1266" w:type="dxa"/>
            <w:vAlign w:val="center"/>
          </w:tcPr>
          <w:p w14:paraId="449993F9" w14:textId="2B72C19E" w:rsidR="008A5A2F" w:rsidRPr="001B4049" w:rsidRDefault="008A5A2F" w:rsidP="00846038">
            <w:pPr>
              <w:pStyle w:val="Tabletext"/>
              <w:jc w:val="center"/>
            </w:pPr>
            <w:r w:rsidRPr="007E29B9">
              <w:t>Administrative</w:t>
            </w:r>
          </w:p>
        </w:tc>
      </w:tr>
      <w:tr w:rsidR="008A5A2F" w:rsidRPr="001B4049" w14:paraId="7903A1E7" w14:textId="77777777" w:rsidTr="00846038">
        <w:tc>
          <w:tcPr>
            <w:tcW w:w="851" w:type="dxa"/>
            <w:vAlign w:val="center"/>
            <w:hideMark/>
          </w:tcPr>
          <w:p w14:paraId="58A90DCA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18</w:t>
            </w:r>
          </w:p>
        </w:tc>
        <w:tc>
          <w:tcPr>
            <w:tcW w:w="7513" w:type="dxa"/>
            <w:hideMark/>
          </w:tcPr>
          <w:p w14:paraId="1725A8D7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 xml:space="preserve">Draft new Resolution </w:t>
            </w:r>
          </w:p>
          <w:p w14:paraId="6882ED46" w14:textId="1ACB0292" w:rsidR="008A5A2F" w:rsidRPr="001B4049" w:rsidRDefault="008A5A2F" w:rsidP="008A5A2F">
            <w:pPr>
              <w:pStyle w:val="Tabletext"/>
            </w:pPr>
            <w:r w:rsidRPr="007E29B9">
              <w:t>on the use of hexadecimal numbering for definition of MSISDN and IMSI</w:t>
            </w:r>
          </w:p>
        </w:tc>
        <w:tc>
          <w:tcPr>
            <w:tcW w:w="1266" w:type="dxa"/>
            <w:vAlign w:val="center"/>
          </w:tcPr>
          <w:p w14:paraId="01D5900B" w14:textId="35A5A4BC" w:rsidR="008A5A2F" w:rsidRPr="001B4049" w:rsidRDefault="008A5A2F" w:rsidP="00846038">
            <w:pPr>
              <w:pStyle w:val="Tabletext"/>
              <w:jc w:val="center"/>
            </w:pPr>
            <w:r w:rsidRPr="007E29B9">
              <w:t>Thematic</w:t>
            </w:r>
          </w:p>
        </w:tc>
      </w:tr>
      <w:tr w:rsidR="008A5A2F" w:rsidRPr="001B4049" w14:paraId="4A1D5DA6" w14:textId="77777777" w:rsidTr="00846038">
        <w:tc>
          <w:tcPr>
            <w:tcW w:w="851" w:type="dxa"/>
            <w:vAlign w:val="center"/>
            <w:hideMark/>
          </w:tcPr>
          <w:p w14:paraId="1B6705B2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19</w:t>
            </w:r>
          </w:p>
        </w:tc>
        <w:tc>
          <w:tcPr>
            <w:tcW w:w="7513" w:type="dxa"/>
            <w:hideMark/>
          </w:tcPr>
          <w:p w14:paraId="01308800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Modifications to Recommendation ITU-T A.1</w:t>
            </w:r>
          </w:p>
          <w:p w14:paraId="5A5241EC" w14:textId="3DDE0E24" w:rsidR="008A5A2F" w:rsidRPr="001B4049" w:rsidRDefault="008A5A2F" w:rsidP="008A5A2F">
            <w:pPr>
              <w:pStyle w:val="Tabletext"/>
            </w:pPr>
            <w:r w:rsidRPr="007E29B9">
              <w:t>"Working methods for study groups of the ITU Telecommunication</w:t>
            </w:r>
            <w:r w:rsidRPr="007E29B9">
              <w:br/>
              <w:t>Standardization Sector"</w:t>
            </w:r>
          </w:p>
        </w:tc>
        <w:tc>
          <w:tcPr>
            <w:tcW w:w="1266" w:type="dxa"/>
            <w:vAlign w:val="center"/>
          </w:tcPr>
          <w:p w14:paraId="20B7E6C9" w14:textId="512DAE5B" w:rsidR="008A5A2F" w:rsidRPr="001B4049" w:rsidRDefault="008A5A2F" w:rsidP="00846038">
            <w:pPr>
              <w:pStyle w:val="Tabletext"/>
              <w:jc w:val="center"/>
            </w:pPr>
            <w:r w:rsidRPr="007E29B9">
              <w:t>Rules and procedures</w:t>
            </w:r>
          </w:p>
        </w:tc>
      </w:tr>
      <w:tr w:rsidR="008A5A2F" w:rsidRPr="001B4049" w14:paraId="2FA3375C" w14:textId="77777777" w:rsidTr="00846038">
        <w:tc>
          <w:tcPr>
            <w:tcW w:w="851" w:type="dxa"/>
            <w:vAlign w:val="center"/>
            <w:hideMark/>
          </w:tcPr>
          <w:p w14:paraId="639E7EB9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20</w:t>
            </w:r>
          </w:p>
        </w:tc>
        <w:tc>
          <w:tcPr>
            <w:tcW w:w="7513" w:type="dxa"/>
            <w:hideMark/>
          </w:tcPr>
          <w:p w14:paraId="18919C97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Modifications to Resolution 65</w:t>
            </w:r>
          </w:p>
          <w:p w14:paraId="52705BBE" w14:textId="25311D1B" w:rsidR="008A5A2F" w:rsidRPr="001B4049" w:rsidRDefault="008A5A2F" w:rsidP="008A5A2F">
            <w:pPr>
              <w:pStyle w:val="Tabletext"/>
            </w:pPr>
            <w:bookmarkStart w:id="3" w:name="_Toc475345274"/>
            <w:r w:rsidRPr="007E29B9">
              <w:t>"Calling party number delivery, calling line identification and origin identification information</w:t>
            </w:r>
            <w:bookmarkEnd w:id="3"/>
            <w:r w:rsidRPr="007E29B9">
              <w:t>"</w:t>
            </w:r>
          </w:p>
        </w:tc>
        <w:tc>
          <w:tcPr>
            <w:tcW w:w="1266" w:type="dxa"/>
            <w:vAlign w:val="center"/>
          </w:tcPr>
          <w:p w14:paraId="3B7C6E60" w14:textId="2D7B1158" w:rsidR="008A5A2F" w:rsidRPr="001B4049" w:rsidRDefault="008A5A2F" w:rsidP="00846038">
            <w:pPr>
              <w:pStyle w:val="Tabletext"/>
              <w:jc w:val="center"/>
            </w:pPr>
            <w:r w:rsidRPr="007E29B9">
              <w:t>Thematic</w:t>
            </w:r>
          </w:p>
        </w:tc>
      </w:tr>
      <w:tr w:rsidR="008A5A2F" w:rsidRPr="001B4049" w14:paraId="234C7FFB" w14:textId="77777777" w:rsidTr="00846038">
        <w:tc>
          <w:tcPr>
            <w:tcW w:w="851" w:type="dxa"/>
            <w:vAlign w:val="center"/>
            <w:hideMark/>
          </w:tcPr>
          <w:p w14:paraId="238FA023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21</w:t>
            </w:r>
          </w:p>
        </w:tc>
        <w:tc>
          <w:tcPr>
            <w:tcW w:w="7513" w:type="dxa"/>
            <w:hideMark/>
          </w:tcPr>
          <w:p w14:paraId="089666A1" w14:textId="77777777" w:rsidR="008A5A2F" w:rsidRPr="007E29B9" w:rsidRDefault="008A5A2F" w:rsidP="008A5A2F">
            <w:pPr>
              <w:pStyle w:val="Tabletext"/>
              <w:keepNext/>
              <w:keepLines/>
              <w:rPr>
                <w:b/>
              </w:rPr>
            </w:pPr>
            <w:r w:rsidRPr="007E29B9">
              <w:rPr>
                <w:b/>
              </w:rPr>
              <w:t>Modifications to Resolution 76</w:t>
            </w:r>
          </w:p>
          <w:p w14:paraId="57FF1EC7" w14:textId="0CEBF320" w:rsidR="008A5A2F" w:rsidRPr="001B4049" w:rsidRDefault="008A5A2F" w:rsidP="008A5A2F">
            <w:pPr>
              <w:pStyle w:val="Tabletext"/>
            </w:pPr>
            <w:r w:rsidRPr="007E29B9">
              <w:t>"Studies related to conformance and interoperability testing, assistance to developing countries, and a possible future ITU Mark programme"</w:t>
            </w:r>
          </w:p>
        </w:tc>
        <w:tc>
          <w:tcPr>
            <w:tcW w:w="1266" w:type="dxa"/>
            <w:vAlign w:val="center"/>
          </w:tcPr>
          <w:p w14:paraId="714C9DBE" w14:textId="103E7F38" w:rsidR="008A5A2F" w:rsidRPr="001B4049" w:rsidRDefault="008A5A2F" w:rsidP="00846038">
            <w:pPr>
              <w:pStyle w:val="Tabletext"/>
              <w:jc w:val="center"/>
            </w:pPr>
            <w:r w:rsidRPr="007E29B9">
              <w:t>Thematic</w:t>
            </w:r>
          </w:p>
        </w:tc>
      </w:tr>
      <w:tr w:rsidR="008A5A2F" w:rsidRPr="001B4049" w14:paraId="4AE3092F" w14:textId="77777777" w:rsidTr="00846038">
        <w:tc>
          <w:tcPr>
            <w:tcW w:w="851" w:type="dxa"/>
            <w:vAlign w:val="center"/>
            <w:hideMark/>
          </w:tcPr>
          <w:p w14:paraId="48D680B2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22</w:t>
            </w:r>
          </w:p>
        </w:tc>
        <w:tc>
          <w:tcPr>
            <w:tcW w:w="7513" w:type="dxa"/>
            <w:hideMark/>
          </w:tcPr>
          <w:p w14:paraId="30220BC5" w14:textId="77777777" w:rsidR="008A5A2F" w:rsidRPr="007E29B9" w:rsidRDefault="008A5A2F" w:rsidP="008A5A2F">
            <w:pPr>
              <w:pStyle w:val="Tabletext"/>
              <w:rPr>
                <w:b/>
              </w:rPr>
            </w:pPr>
            <w:r w:rsidRPr="007E29B9">
              <w:rPr>
                <w:b/>
              </w:rPr>
              <w:t>Modifications to Resolution 34</w:t>
            </w:r>
          </w:p>
          <w:p w14:paraId="68141590" w14:textId="252A5BDC" w:rsidR="008A5A2F" w:rsidRPr="001B4049" w:rsidRDefault="008A5A2F" w:rsidP="008A5A2F">
            <w:pPr>
              <w:pStyle w:val="Tabletext"/>
            </w:pPr>
            <w:r w:rsidRPr="007E29B9">
              <w:t>"Voluntary contributions"</w:t>
            </w:r>
          </w:p>
        </w:tc>
        <w:tc>
          <w:tcPr>
            <w:tcW w:w="1266" w:type="dxa"/>
            <w:vAlign w:val="center"/>
          </w:tcPr>
          <w:p w14:paraId="658C1A8A" w14:textId="3C6CF56C" w:rsidR="008A5A2F" w:rsidRPr="001B4049" w:rsidRDefault="008A5A2F" w:rsidP="00846038">
            <w:pPr>
              <w:pStyle w:val="Tabletext"/>
              <w:jc w:val="center"/>
            </w:pPr>
            <w:r w:rsidRPr="007E29B9">
              <w:t>Administrative</w:t>
            </w:r>
          </w:p>
        </w:tc>
      </w:tr>
      <w:tr w:rsidR="008A5A2F" w:rsidRPr="001B4049" w14:paraId="6B6070E1" w14:textId="77777777" w:rsidTr="00846038">
        <w:tc>
          <w:tcPr>
            <w:tcW w:w="851" w:type="dxa"/>
            <w:vAlign w:val="center"/>
            <w:hideMark/>
          </w:tcPr>
          <w:p w14:paraId="02E41CE1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23</w:t>
            </w:r>
          </w:p>
        </w:tc>
        <w:tc>
          <w:tcPr>
            <w:tcW w:w="7513" w:type="dxa"/>
            <w:hideMark/>
          </w:tcPr>
          <w:p w14:paraId="1E096440" w14:textId="77777777" w:rsidR="008A5A2F" w:rsidRPr="007E29B9" w:rsidRDefault="008A5A2F" w:rsidP="008A5A2F">
            <w:pPr>
              <w:pStyle w:val="Tabletext"/>
              <w:rPr>
                <w:b/>
                <w:bCs/>
              </w:rPr>
            </w:pPr>
            <w:bookmarkStart w:id="4" w:name="_Toc475345234"/>
            <w:r w:rsidRPr="007E29B9">
              <w:rPr>
                <w:b/>
                <w:bCs/>
              </w:rPr>
              <w:t>Modifications to Resolution 32</w:t>
            </w:r>
          </w:p>
          <w:p w14:paraId="04349E30" w14:textId="6957ACBC" w:rsidR="008A5A2F" w:rsidRPr="001B4049" w:rsidRDefault="008A5A2F" w:rsidP="008A5A2F">
            <w:pPr>
              <w:pStyle w:val="Tabletext"/>
            </w:pPr>
            <w:r w:rsidRPr="007E29B9">
              <w:t>"Strengthening electronic working methods for the work of the ITU Telecommunication Standardization Sector</w:t>
            </w:r>
            <w:bookmarkEnd w:id="4"/>
            <w:r w:rsidRPr="007E29B9">
              <w:t>"</w:t>
            </w:r>
          </w:p>
        </w:tc>
        <w:tc>
          <w:tcPr>
            <w:tcW w:w="1266" w:type="dxa"/>
            <w:vAlign w:val="center"/>
          </w:tcPr>
          <w:p w14:paraId="71A53EA0" w14:textId="713CCE20" w:rsidR="008A5A2F" w:rsidRPr="001B4049" w:rsidRDefault="008A5A2F" w:rsidP="00846038">
            <w:pPr>
              <w:pStyle w:val="Tabletext"/>
              <w:jc w:val="center"/>
            </w:pPr>
            <w:r w:rsidRPr="007E29B9">
              <w:t>Administrative</w:t>
            </w:r>
          </w:p>
        </w:tc>
      </w:tr>
      <w:tr w:rsidR="008A5A2F" w:rsidRPr="001B4049" w14:paraId="7C56724D" w14:textId="77777777" w:rsidTr="00846038">
        <w:tc>
          <w:tcPr>
            <w:tcW w:w="851" w:type="dxa"/>
            <w:vAlign w:val="center"/>
            <w:hideMark/>
          </w:tcPr>
          <w:p w14:paraId="6DD766E4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24</w:t>
            </w:r>
          </w:p>
        </w:tc>
        <w:tc>
          <w:tcPr>
            <w:tcW w:w="7513" w:type="dxa"/>
            <w:hideMark/>
          </w:tcPr>
          <w:p w14:paraId="5804D877" w14:textId="77777777" w:rsidR="008A5A2F" w:rsidRPr="007E29B9" w:rsidRDefault="008A5A2F" w:rsidP="008A5A2F">
            <w:pPr>
              <w:pStyle w:val="Tabletext"/>
              <w:rPr>
                <w:b/>
                <w:bCs/>
              </w:rPr>
            </w:pPr>
            <w:r w:rsidRPr="007E29B9">
              <w:rPr>
                <w:b/>
                <w:bCs/>
              </w:rPr>
              <w:t>Modifications to Resolution 7</w:t>
            </w:r>
          </w:p>
          <w:p w14:paraId="7B931C1B" w14:textId="4CF13B26" w:rsidR="008A5A2F" w:rsidRPr="001B4049" w:rsidRDefault="008A5A2F" w:rsidP="008A5A2F">
            <w:pPr>
              <w:pStyle w:val="Tabletext"/>
            </w:pPr>
            <w:bookmarkStart w:id="5" w:name="_Toc89767770"/>
            <w:bookmarkStart w:id="6" w:name="_Toc475345220"/>
            <w:r w:rsidRPr="007E29B9">
              <w:t>"Collaboration with the International Organization for Standardization</w:t>
            </w:r>
            <w:r w:rsidRPr="007E29B9">
              <w:br/>
              <w:t>and the International Electrotechnical Commission</w:t>
            </w:r>
            <w:bookmarkEnd w:id="5"/>
            <w:bookmarkEnd w:id="6"/>
            <w:r w:rsidRPr="007E29B9">
              <w:t>"</w:t>
            </w:r>
          </w:p>
        </w:tc>
        <w:tc>
          <w:tcPr>
            <w:tcW w:w="1266" w:type="dxa"/>
            <w:vAlign w:val="center"/>
          </w:tcPr>
          <w:p w14:paraId="55AA2B92" w14:textId="0F71839E" w:rsidR="008A5A2F" w:rsidRPr="001B4049" w:rsidRDefault="008A5A2F" w:rsidP="00846038">
            <w:pPr>
              <w:pStyle w:val="Tabletext"/>
              <w:jc w:val="center"/>
            </w:pPr>
            <w:r w:rsidRPr="007E29B9">
              <w:t>Collaboration and coordination</w:t>
            </w:r>
          </w:p>
        </w:tc>
      </w:tr>
      <w:tr w:rsidR="008A5A2F" w:rsidRPr="001B4049" w14:paraId="166F78AF" w14:textId="77777777" w:rsidTr="00846038">
        <w:tc>
          <w:tcPr>
            <w:tcW w:w="851" w:type="dxa"/>
            <w:vAlign w:val="center"/>
            <w:hideMark/>
          </w:tcPr>
          <w:p w14:paraId="1B6BF441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25</w:t>
            </w:r>
          </w:p>
        </w:tc>
        <w:tc>
          <w:tcPr>
            <w:tcW w:w="7513" w:type="dxa"/>
            <w:hideMark/>
          </w:tcPr>
          <w:p w14:paraId="3B295EB4" w14:textId="77777777" w:rsidR="008A5A2F" w:rsidRPr="007E29B9" w:rsidRDefault="008A5A2F" w:rsidP="008A5A2F">
            <w:pPr>
              <w:pStyle w:val="Tabletext"/>
              <w:rPr>
                <w:b/>
                <w:bCs/>
              </w:rPr>
            </w:pPr>
            <w:r w:rsidRPr="007E29B9">
              <w:rPr>
                <w:b/>
                <w:bCs/>
              </w:rPr>
              <w:t>Modifications to Recommendation ITU-T A.5</w:t>
            </w:r>
          </w:p>
          <w:p w14:paraId="178613E5" w14:textId="3D23054B" w:rsidR="008A5A2F" w:rsidRPr="001B4049" w:rsidRDefault="008A5A2F" w:rsidP="008A5A2F">
            <w:pPr>
              <w:pStyle w:val="Tabletext"/>
            </w:pPr>
            <w:r w:rsidRPr="007E29B9">
              <w:t>"Generic procedures for including references to documents of other organizations in ITU</w:t>
            </w:r>
            <w:r w:rsidRPr="007E29B9">
              <w:noBreakHyphen/>
              <w:t>T Recommendations"</w:t>
            </w:r>
          </w:p>
        </w:tc>
        <w:tc>
          <w:tcPr>
            <w:tcW w:w="1266" w:type="dxa"/>
            <w:vAlign w:val="center"/>
          </w:tcPr>
          <w:p w14:paraId="0DB5E71A" w14:textId="0800839D" w:rsidR="008A5A2F" w:rsidRPr="001B4049" w:rsidRDefault="008A5A2F" w:rsidP="00846038">
            <w:pPr>
              <w:pStyle w:val="Tabletext"/>
              <w:jc w:val="center"/>
            </w:pPr>
            <w:r w:rsidRPr="007E29B9">
              <w:t>Rules and procedures</w:t>
            </w:r>
          </w:p>
        </w:tc>
      </w:tr>
      <w:tr w:rsidR="008A5A2F" w:rsidRPr="001B4049" w14:paraId="00B4C506" w14:textId="77777777" w:rsidTr="00846038">
        <w:tc>
          <w:tcPr>
            <w:tcW w:w="851" w:type="dxa"/>
            <w:vAlign w:val="center"/>
            <w:hideMark/>
          </w:tcPr>
          <w:p w14:paraId="4D7599CE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26</w:t>
            </w:r>
          </w:p>
        </w:tc>
        <w:tc>
          <w:tcPr>
            <w:tcW w:w="7513" w:type="dxa"/>
            <w:hideMark/>
          </w:tcPr>
          <w:p w14:paraId="1C986399" w14:textId="77777777" w:rsidR="008A5A2F" w:rsidRPr="007E29B9" w:rsidRDefault="008A5A2F" w:rsidP="008A5A2F">
            <w:pPr>
              <w:pStyle w:val="Tabletext"/>
              <w:rPr>
                <w:b/>
                <w:bCs/>
              </w:rPr>
            </w:pPr>
            <w:r w:rsidRPr="007E29B9">
              <w:rPr>
                <w:b/>
                <w:bCs/>
              </w:rPr>
              <w:t>Modifications to Recommendation ITU-T A.25</w:t>
            </w:r>
          </w:p>
          <w:p w14:paraId="339A5193" w14:textId="1D31A266" w:rsidR="008A5A2F" w:rsidRPr="001B4049" w:rsidRDefault="008A5A2F" w:rsidP="008A5A2F">
            <w:pPr>
              <w:pStyle w:val="Tabletext"/>
            </w:pPr>
            <w:r w:rsidRPr="007E29B9">
              <w:t>"Generic procedures for incorporating text between ITU</w:t>
            </w:r>
            <w:r w:rsidRPr="007E29B9">
              <w:noBreakHyphen/>
              <w:t>T and other organizations"</w:t>
            </w:r>
          </w:p>
        </w:tc>
        <w:tc>
          <w:tcPr>
            <w:tcW w:w="1266" w:type="dxa"/>
            <w:vAlign w:val="center"/>
          </w:tcPr>
          <w:p w14:paraId="423830CB" w14:textId="3BC19A42" w:rsidR="008A5A2F" w:rsidRPr="001B4049" w:rsidRDefault="008A5A2F" w:rsidP="00846038">
            <w:pPr>
              <w:pStyle w:val="Tabletext"/>
              <w:jc w:val="center"/>
            </w:pPr>
            <w:r w:rsidRPr="007E29B9">
              <w:t>Rules and procedures/ Collaboration and coordination</w:t>
            </w:r>
          </w:p>
        </w:tc>
      </w:tr>
      <w:tr w:rsidR="008A5A2F" w:rsidRPr="001B4049" w14:paraId="4DD2725B" w14:textId="77777777" w:rsidTr="00846038">
        <w:tc>
          <w:tcPr>
            <w:tcW w:w="851" w:type="dxa"/>
            <w:vAlign w:val="center"/>
            <w:hideMark/>
          </w:tcPr>
          <w:p w14:paraId="31F73286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27</w:t>
            </w:r>
          </w:p>
        </w:tc>
        <w:tc>
          <w:tcPr>
            <w:tcW w:w="7513" w:type="dxa"/>
            <w:hideMark/>
          </w:tcPr>
          <w:p w14:paraId="0F2E1891" w14:textId="77777777" w:rsidR="008A5A2F" w:rsidRPr="007E29B9" w:rsidRDefault="008A5A2F" w:rsidP="008A5A2F">
            <w:pPr>
              <w:pStyle w:val="Tabletext"/>
              <w:rPr>
                <w:b/>
                <w:bCs/>
              </w:rPr>
            </w:pPr>
            <w:r w:rsidRPr="007E29B9">
              <w:rPr>
                <w:b/>
                <w:bCs/>
              </w:rPr>
              <w:t>Proposals to maintain (NOC) some WTSA Resolutions and ITU-T Recommendations:</w:t>
            </w:r>
          </w:p>
          <w:p w14:paraId="767127DF" w14:textId="77777777" w:rsidR="008A5A2F" w:rsidRPr="007E29B9" w:rsidRDefault="008A5A2F" w:rsidP="008A5A2F">
            <w:pPr>
              <w:pStyle w:val="Tabletext"/>
            </w:pPr>
            <w:r w:rsidRPr="007E29B9">
              <w:t>(</w:t>
            </w:r>
            <w:proofErr w:type="gramStart"/>
            <w:r w:rsidRPr="007E29B9">
              <w:t>listed</w:t>
            </w:r>
            <w:proofErr w:type="gramEnd"/>
            <w:r w:rsidRPr="007E29B9">
              <w:t xml:space="preserve"> below)</w:t>
            </w:r>
          </w:p>
          <w:p w14:paraId="6E1394DD" w14:textId="77777777" w:rsidR="008A5A2F" w:rsidRPr="007E29B9" w:rsidRDefault="008A5A2F" w:rsidP="008A5A2F">
            <w:pPr>
              <w:pStyle w:val="Tabletext"/>
            </w:pPr>
            <w:r w:rsidRPr="007E29B9">
              <w:rPr>
                <w:b/>
                <w:bCs/>
              </w:rPr>
              <w:t xml:space="preserve">Resolution 29 </w:t>
            </w:r>
            <w:bookmarkStart w:id="7" w:name="_Toc475345230"/>
            <w:r w:rsidRPr="007E29B9">
              <w:t>"Alternative calling procedures on international telecommunication networks</w:t>
            </w:r>
            <w:bookmarkEnd w:id="7"/>
            <w:r w:rsidRPr="007E29B9">
              <w:t>"</w:t>
            </w:r>
          </w:p>
          <w:p w14:paraId="0042D00F" w14:textId="77777777" w:rsidR="008A5A2F" w:rsidRPr="007E29B9" w:rsidRDefault="008A5A2F" w:rsidP="008A5A2F">
            <w:pPr>
              <w:pStyle w:val="Tabletext"/>
            </w:pPr>
            <w:r w:rsidRPr="007E29B9">
              <w:rPr>
                <w:b/>
                <w:bCs/>
              </w:rPr>
              <w:t xml:space="preserve">Resolution 59 </w:t>
            </w:r>
            <w:r w:rsidRPr="007E29B9">
              <w:t>"</w:t>
            </w:r>
            <w:bookmarkStart w:id="8" w:name="_Toc475345264"/>
            <w:r w:rsidRPr="007E29B9">
              <w:t xml:space="preserve"> Enhancing participation of telecommunication operators from developing countries</w:t>
            </w:r>
            <w:bookmarkEnd w:id="8"/>
            <w:r w:rsidRPr="007E29B9">
              <w:t>"</w:t>
            </w:r>
          </w:p>
          <w:p w14:paraId="1E3486F9" w14:textId="77777777" w:rsidR="008A5A2F" w:rsidRPr="007E29B9" w:rsidRDefault="008A5A2F" w:rsidP="008A5A2F">
            <w:pPr>
              <w:pStyle w:val="Tabletext"/>
            </w:pPr>
            <w:r w:rsidRPr="007E29B9">
              <w:rPr>
                <w:b/>
                <w:bCs/>
              </w:rPr>
              <w:lastRenderedPageBreak/>
              <w:t xml:space="preserve">Resolution 68 </w:t>
            </w:r>
            <w:r w:rsidRPr="007E29B9">
              <w:t>"</w:t>
            </w:r>
            <w:bookmarkStart w:id="9" w:name="_Toc475345280"/>
            <w:r w:rsidRPr="007E29B9">
              <w:t xml:space="preserve"> Evolving role of industry in the ITU Telecommunication Standardization Sector</w:t>
            </w:r>
            <w:bookmarkEnd w:id="9"/>
            <w:r w:rsidRPr="007E29B9">
              <w:t>"</w:t>
            </w:r>
          </w:p>
          <w:p w14:paraId="602AC8C9" w14:textId="77777777" w:rsidR="008A5A2F" w:rsidRPr="007E29B9" w:rsidRDefault="008A5A2F" w:rsidP="008A5A2F">
            <w:pPr>
              <w:pStyle w:val="Tabletext"/>
            </w:pPr>
            <w:r w:rsidRPr="007E29B9">
              <w:rPr>
                <w:b/>
                <w:bCs/>
              </w:rPr>
              <w:t xml:space="preserve">Resolution 91 </w:t>
            </w:r>
            <w:r w:rsidRPr="007E29B9">
              <w:t>"</w:t>
            </w:r>
            <w:bookmarkStart w:id="10" w:name="_Toc475345320"/>
            <w:r w:rsidRPr="007E29B9">
              <w:t xml:space="preserve"> Enhancing access to an electronic repository of information on numbering plans published by the ITU Telecommunication Standardization Sector</w:t>
            </w:r>
            <w:bookmarkEnd w:id="10"/>
            <w:r w:rsidRPr="007E29B9">
              <w:t>"</w:t>
            </w:r>
          </w:p>
          <w:p w14:paraId="6465B670" w14:textId="77777777" w:rsidR="008A5A2F" w:rsidRPr="007E29B9" w:rsidRDefault="008A5A2F" w:rsidP="008A5A2F">
            <w:pPr>
              <w:pStyle w:val="Tabletext"/>
            </w:pPr>
            <w:r w:rsidRPr="007E29B9">
              <w:rPr>
                <w:b/>
                <w:bCs/>
              </w:rPr>
              <w:t xml:space="preserve">Resolution 93 </w:t>
            </w:r>
            <w:r w:rsidRPr="007E29B9">
              <w:t>"</w:t>
            </w:r>
            <w:bookmarkStart w:id="11" w:name="_Toc475345324"/>
            <w:r w:rsidRPr="007E29B9">
              <w:t xml:space="preserve"> Interconnection of 4G, IMT-2020 networks and beyond</w:t>
            </w:r>
            <w:bookmarkEnd w:id="11"/>
            <w:r w:rsidRPr="007E29B9">
              <w:t>"</w:t>
            </w:r>
          </w:p>
          <w:p w14:paraId="2D14C459" w14:textId="77777777" w:rsidR="008A5A2F" w:rsidRPr="007E29B9" w:rsidRDefault="008A5A2F" w:rsidP="008A5A2F">
            <w:pPr>
              <w:pStyle w:val="Tabletext"/>
            </w:pPr>
            <w:r w:rsidRPr="007E29B9">
              <w:rPr>
                <w:b/>
                <w:bCs/>
              </w:rPr>
              <w:t xml:space="preserve">Resolution 96 </w:t>
            </w:r>
            <w:r w:rsidRPr="007E29B9">
              <w:t>"</w:t>
            </w:r>
            <w:bookmarkStart w:id="12" w:name="_Toc475345330"/>
            <w:r w:rsidRPr="007E29B9">
              <w:t xml:space="preserve"> ITU Telecommunication Standardization Sector studies for combating counterfeit telecommunication/information and communication technology devices</w:t>
            </w:r>
            <w:bookmarkEnd w:id="12"/>
            <w:r w:rsidRPr="007E29B9">
              <w:t>"</w:t>
            </w:r>
          </w:p>
          <w:p w14:paraId="10BD661F" w14:textId="77777777" w:rsidR="008A5A2F" w:rsidRPr="007E29B9" w:rsidRDefault="008A5A2F" w:rsidP="008A5A2F">
            <w:pPr>
              <w:pStyle w:val="Tabletext"/>
            </w:pPr>
            <w:r w:rsidRPr="007E29B9">
              <w:rPr>
                <w:b/>
                <w:bCs/>
              </w:rPr>
              <w:t xml:space="preserve">Resolution 97 </w:t>
            </w:r>
            <w:r w:rsidRPr="007E29B9">
              <w:t>"</w:t>
            </w:r>
            <w:bookmarkStart w:id="13" w:name="_Toc475345332"/>
            <w:r w:rsidRPr="007E29B9">
              <w:t xml:space="preserve"> Combating mobile telecommunication device theft</w:t>
            </w:r>
            <w:bookmarkEnd w:id="13"/>
            <w:r w:rsidRPr="007E29B9">
              <w:t>"</w:t>
            </w:r>
          </w:p>
          <w:p w14:paraId="735A131F" w14:textId="4D037A4B" w:rsidR="008A5A2F" w:rsidRPr="001B4049" w:rsidRDefault="008A5A2F" w:rsidP="008A5A2F">
            <w:pPr>
              <w:pStyle w:val="Tabletext"/>
            </w:pPr>
            <w:r w:rsidRPr="007E29B9">
              <w:rPr>
                <w:b/>
                <w:bCs/>
              </w:rPr>
              <w:t xml:space="preserve">Recommendation ITU-T A.7 </w:t>
            </w:r>
            <w:r w:rsidRPr="007E29B9">
              <w:t>"</w:t>
            </w:r>
            <w:bookmarkStart w:id="14" w:name="_Toc475368829"/>
            <w:r w:rsidRPr="007E29B9">
              <w:t>Focus groups: Establishment and working procedures</w:t>
            </w:r>
            <w:bookmarkEnd w:id="14"/>
            <w:r w:rsidRPr="007E29B9">
              <w:t>"</w:t>
            </w:r>
          </w:p>
        </w:tc>
        <w:tc>
          <w:tcPr>
            <w:tcW w:w="1266" w:type="dxa"/>
            <w:vAlign w:val="center"/>
          </w:tcPr>
          <w:p w14:paraId="39230EFE" w14:textId="314C91F6" w:rsidR="008A5A2F" w:rsidRPr="007E29B9" w:rsidRDefault="008D1A24" w:rsidP="00846038">
            <w:pPr>
              <w:pStyle w:val="Tabletext"/>
              <w:jc w:val="center"/>
            </w:pPr>
            <w:r>
              <w:lastRenderedPageBreak/>
              <w:br/>
            </w:r>
            <w:r>
              <w:br/>
            </w:r>
            <w:r>
              <w:br/>
            </w:r>
            <w:r w:rsidR="008A5A2F" w:rsidRPr="007E29B9">
              <w:t>Thematic</w:t>
            </w:r>
          </w:p>
          <w:p w14:paraId="1103049D" w14:textId="77777777" w:rsidR="008A5A2F" w:rsidRPr="007E29B9" w:rsidRDefault="008A5A2F" w:rsidP="00846038">
            <w:pPr>
              <w:pStyle w:val="Tabletext"/>
              <w:jc w:val="center"/>
            </w:pPr>
          </w:p>
          <w:p w14:paraId="3BD4A273" w14:textId="77777777" w:rsidR="008A5A2F" w:rsidRPr="007E29B9" w:rsidRDefault="008A5A2F" w:rsidP="00846038">
            <w:pPr>
              <w:pStyle w:val="Tabletext"/>
              <w:jc w:val="center"/>
            </w:pPr>
            <w:r w:rsidRPr="007E29B9">
              <w:t>Administrative</w:t>
            </w:r>
          </w:p>
          <w:p w14:paraId="2FB12259" w14:textId="77777777" w:rsidR="008A5A2F" w:rsidRDefault="008A5A2F" w:rsidP="00846038">
            <w:pPr>
              <w:pStyle w:val="Tabletext"/>
              <w:jc w:val="center"/>
            </w:pPr>
          </w:p>
          <w:p w14:paraId="6DA802DC" w14:textId="77777777" w:rsidR="008A5A2F" w:rsidRDefault="008A5A2F" w:rsidP="00846038">
            <w:pPr>
              <w:pStyle w:val="Tabletext"/>
              <w:jc w:val="center"/>
            </w:pPr>
          </w:p>
          <w:p w14:paraId="6768DE15" w14:textId="397F8F44" w:rsidR="008A5A2F" w:rsidRPr="007E29B9" w:rsidRDefault="008A5A2F" w:rsidP="00846038">
            <w:pPr>
              <w:pStyle w:val="Tabletext"/>
              <w:jc w:val="center"/>
            </w:pPr>
            <w:r w:rsidRPr="007E29B9">
              <w:lastRenderedPageBreak/>
              <w:t>Rules and procedures</w:t>
            </w:r>
          </w:p>
          <w:p w14:paraId="10A58B84" w14:textId="16028D90" w:rsidR="008A5A2F" w:rsidRPr="007E29B9" w:rsidRDefault="008D1A24" w:rsidP="00846038">
            <w:pPr>
              <w:pStyle w:val="Tabletext"/>
              <w:jc w:val="center"/>
            </w:pPr>
            <w:r>
              <w:br/>
            </w:r>
            <w:r w:rsidR="008A5A2F" w:rsidRPr="007E29B9">
              <w:t>Administrative</w:t>
            </w:r>
          </w:p>
          <w:p w14:paraId="4923A458" w14:textId="0BB9F75F" w:rsidR="008A5A2F" w:rsidRDefault="008D1A24" w:rsidP="00846038">
            <w:pPr>
              <w:pStyle w:val="Tabletext"/>
              <w:jc w:val="center"/>
            </w:pPr>
            <w:r>
              <w:br/>
            </w:r>
            <w:r w:rsidR="008A5A2F" w:rsidRPr="007E29B9">
              <w:t>Thematic</w:t>
            </w:r>
          </w:p>
          <w:p w14:paraId="7853A0F2" w14:textId="77777777" w:rsidR="008D1A24" w:rsidRPr="007E29B9" w:rsidRDefault="008D1A24" w:rsidP="00846038">
            <w:pPr>
              <w:pStyle w:val="Tabletext"/>
              <w:jc w:val="center"/>
            </w:pPr>
          </w:p>
          <w:p w14:paraId="38298770" w14:textId="222E8ACB" w:rsidR="008A5A2F" w:rsidRDefault="008A5A2F" w:rsidP="00846038">
            <w:pPr>
              <w:pStyle w:val="Tabletext"/>
              <w:jc w:val="center"/>
            </w:pPr>
            <w:r w:rsidRPr="007E29B9">
              <w:t>Thematic</w:t>
            </w:r>
          </w:p>
          <w:p w14:paraId="6E8F54ED" w14:textId="77777777" w:rsidR="008D1A24" w:rsidRPr="007E29B9" w:rsidRDefault="008D1A24" w:rsidP="00846038">
            <w:pPr>
              <w:pStyle w:val="Tabletext"/>
              <w:jc w:val="center"/>
            </w:pPr>
          </w:p>
          <w:p w14:paraId="524B8757" w14:textId="77777777" w:rsidR="008A5A2F" w:rsidRPr="007E29B9" w:rsidRDefault="008A5A2F" w:rsidP="00846038">
            <w:pPr>
              <w:pStyle w:val="Tabletext"/>
              <w:jc w:val="center"/>
            </w:pPr>
            <w:r w:rsidRPr="007E29B9">
              <w:t>Thematic</w:t>
            </w:r>
          </w:p>
          <w:p w14:paraId="619C8CCD" w14:textId="3B524EEA" w:rsidR="008A5A2F" w:rsidRPr="001B4049" w:rsidRDefault="008A5A2F" w:rsidP="00846038">
            <w:pPr>
              <w:pStyle w:val="Tabletext"/>
              <w:jc w:val="center"/>
            </w:pPr>
            <w:r w:rsidRPr="007E29B9">
              <w:t>Rules and procedures</w:t>
            </w:r>
          </w:p>
        </w:tc>
      </w:tr>
      <w:tr w:rsidR="008A5A2F" w:rsidRPr="001B4049" w14:paraId="2B6FFC16" w14:textId="77777777" w:rsidTr="00846038">
        <w:tc>
          <w:tcPr>
            <w:tcW w:w="851" w:type="dxa"/>
            <w:vAlign w:val="center"/>
            <w:hideMark/>
          </w:tcPr>
          <w:p w14:paraId="1D79FDC1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lastRenderedPageBreak/>
              <w:t>28</w:t>
            </w:r>
          </w:p>
        </w:tc>
        <w:tc>
          <w:tcPr>
            <w:tcW w:w="7513" w:type="dxa"/>
            <w:hideMark/>
          </w:tcPr>
          <w:p w14:paraId="1626B5BC" w14:textId="77777777" w:rsidR="008A5A2F" w:rsidRPr="007E29B9" w:rsidRDefault="008A5A2F" w:rsidP="008A5A2F">
            <w:pPr>
              <w:pStyle w:val="Tabletext"/>
              <w:rPr>
                <w:b/>
                <w:bCs/>
              </w:rPr>
            </w:pPr>
            <w:bookmarkStart w:id="15" w:name="_Toc475345218"/>
            <w:r w:rsidRPr="007E29B9">
              <w:rPr>
                <w:b/>
                <w:bCs/>
              </w:rPr>
              <w:t>Modifications to Resolution 2</w:t>
            </w:r>
          </w:p>
          <w:p w14:paraId="6C088FC8" w14:textId="6616AA36" w:rsidR="008A5A2F" w:rsidRPr="001B4049" w:rsidRDefault="008A5A2F" w:rsidP="008A5A2F">
            <w:pPr>
              <w:pStyle w:val="Tabletext"/>
            </w:pPr>
            <w:r w:rsidRPr="007E29B9">
              <w:t>"ITU Telecommunication Standardization Sector study group responsibility and mandates</w:t>
            </w:r>
            <w:bookmarkEnd w:id="15"/>
            <w:r w:rsidRPr="007E29B9">
              <w:t>"</w:t>
            </w:r>
          </w:p>
        </w:tc>
        <w:tc>
          <w:tcPr>
            <w:tcW w:w="1266" w:type="dxa"/>
            <w:vAlign w:val="center"/>
          </w:tcPr>
          <w:p w14:paraId="1F80CE1D" w14:textId="4ECACB4F" w:rsidR="008A5A2F" w:rsidRPr="001B4049" w:rsidRDefault="008A5A2F" w:rsidP="00846038">
            <w:pPr>
              <w:pStyle w:val="Tabletext"/>
              <w:jc w:val="center"/>
            </w:pPr>
            <w:r w:rsidRPr="007E29B9">
              <w:t>Rules and procedures</w:t>
            </w:r>
          </w:p>
        </w:tc>
      </w:tr>
      <w:tr w:rsidR="008A5A2F" w:rsidRPr="001B4049" w14:paraId="0D69D186" w14:textId="77777777" w:rsidTr="00846038">
        <w:tc>
          <w:tcPr>
            <w:tcW w:w="851" w:type="dxa"/>
            <w:vAlign w:val="center"/>
            <w:hideMark/>
          </w:tcPr>
          <w:p w14:paraId="0226B1C3" w14:textId="77777777" w:rsidR="008A5A2F" w:rsidRPr="001B4049" w:rsidRDefault="008A5A2F" w:rsidP="008A5A2F">
            <w:pPr>
              <w:pStyle w:val="Tabletext"/>
              <w:jc w:val="center"/>
            </w:pPr>
            <w:r w:rsidRPr="001B4049">
              <w:t>29</w:t>
            </w:r>
          </w:p>
        </w:tc>
        <w:tc>
          <w:tcPr>
            <w:tcW w:w="7513" w:type="dxa"/>
            <w:hideMark/>
          </w:tcPr>
          <w:p w14:paraId="4AAD148F" w14:textId="77777777" w:rsidR="008A5A2F" w:rsidRPr="007E29B9" w:rsidRDefault="008A5A2F" w:rsidP="008A5A2F">
            <w:pPr>
              <w:pStyle w:val="Tabletext"/>
              <w:rPr>
                <w:b/>
                <w:bCs/>
              </w:rPr>
            </w:pPr>
            <w:r w:rsidRPr="007E29B9">
              <w:rPr>
                <w:b/>
                <w:bCs/>
              </w:rPr>
              <w:t>Suppression of Resolution 55</w:t>
            </w:r>
          </w:p>
          <w:p w14:paraId="0025043A" w14:textId="6CFA8903" w:rsidR="008A5A2F" w:rsidRPr="001B4049" w:rsidRDefault="008A5A2F" w:rsidP="008A5A2F">
            <w:pPr>
              <w:pStyle w:val="Tabletext"/>
            </w:pPr>
            <w:bookmarkStart w:id="16" w:name="_Toc475345260"/>
            <w:r w:rsidRPr="007E29B9">
              <w:t>"Promoting gender equality in ITU Telecommunication Standardization Sector activities</w:t>
            </w:r>
            <w:bookmarkEnd w:id="16"/>
            <w:r w:rsidRPr="007E29B9">
              <w:t>"</w:t>
            </w:r>
          </w:p>
        </w:tc>
        <w:tc>
          <w:tcPr>
            <w:tcW w:w="1266" w:type="dxa"/>
            <w:vAlign w:val="center"/>
          </w:tcPr>
          <w:p w14:paraId="271FE390" w14:textId="2A263237" w:rsidR="008A5A2F" w:rsidRPr="001B4049" w:rsidRDefault="008A5A2F" w:rsidP="00846038">
            <w:pPr>
              <w:pStyle w:val="Tabletext"/>
              <w:jc w:val="center"/>
            </w:pPr>
            <w:r w:rsidRPr="007E29B9">
              <w:t>General</w:t>
            </w:r>
          </w:p>
        </w:tc>
      </w:tr>
      <w:bookmarkEnd w:id="1"/>
    </w:tbl>
    <w:p w14:paraId="1DFA3F60" w14:textId="77777777" w:rsidR="008D1A24" w:rsidRDefault="008D1A24" w:rsidP="00A26251">
      <w:pPr>
        <w:rPr>
          <w:rFonts w:eastAsia="Calibri"/>
          <w:szCs w:val="24"/>
        </w:rPr>
      </w:pPr>
    </w:p>
    <w:p w14:paraId="0948CEA2" w14:textId="77777777" w:rsidR="008D1A24" w:rsidRDefault="008D1A24" w:rsidP="00A26251">
      <w:pPr>
        <w:rPr>
          <w:rFonts w:eastAsia="Calibri"/>
          <w:szCs w:val="24"/>
        </w:rPr>
        <w:sectPr w:rsidR="008D1A24" w:rsidSect="008A5A2F">
          <w:pgSz w:w="11907" w:h="16840" w:code="9"/>
          <w:pgMar w:top="1134" w:right="1134" w:bottom="1134" w:left="1134" w:header="425" w:footer="720" w:gutter="0"/>
          <w:cols w:space="720"/>
          <w:docGrid w:linePitch="326"/>
        </w:sectPr>
      </w:pP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79"/>
        <w:gridCol w:w="513"/>
        <w:gridCol w:w="567"/>
        <w:gridCol w:w="567"/>
        <w:gridCol w:w="567"/>
        <w:gridCol w:w="425"/>
        <w:gridCol w:w="426"/>
        <w:gridCol w:w="567"/>
        <w:gridCol w:w="562"/>
        <w:gridCol w:w="708"/>
      </w:tblGrid>
      <w:tr w:rsidR="001957CA" w:rsidRPr="009C4CD3" w14:paraId="4F3F0DED" w14:textId="77777777" w:rsidTr="001957CA">
        <w:trPr>
          <w:cantSplit/>
          <w:trHeight w:val="1408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92BCB4F" w14:textId="1306ABDB" w:rsidR="001957CA" w:rsidRPr="009C4CD3" w:rsidRDefault="001957CA" w:rsidP="001957CA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>
              <w:rPr>
                <w:rFonts w:eastAsia="Dotum"/>
                <w:sz w:val="18"/>
                <w:szCs w:val="18"/>
                <w:lang w:val="en-US"/>
              </w:rPr>
              <w:lastRenderedPageBreak/>
              <w:t>RCC</w:t>
            </w:r>
            <w:r w:rsidRPr="009C4CD3">
              <w:rPr>
                <w:rFonts w:eastAsia="Dotum"/>
                <w:sz w:val="18"/>
                <w:szCs w:val="18"/>
                <w:lang w:val="en-US"/>
              </w:rPr>
              <w:t xml:space="preserve"> No.</w:t>
            </w:r>
          </w:p>
        </w:tc>
        <w:tc>
          <w:tcPr>
            <w:tcW w:w="479" w:type="dxa"/>
            <w:shd w:val="clear" w:color="auto" w:fill="FFFFFF" w:themeFill="background1"/>
            <w:textDirection w:val="btLr"/>
            <w:vAlign w:val="center"/>
          </w:tcPr>
          <w:p w14:paraId="302360DB" w14:textId="148B27E9" w:rsidR="001957CA" w:rsidRPr="001957CA" w:rsidRDefault="001957CA" w:rsidP="001957CA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1957CA">
              <w:rPr>
                <w:sz w:val="18"/>
                <w:szCs w:val="18"/>
              </w:rPr>
              <w:t>Azerbaijan</w:t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8476C27" w14:textId="0234E391" w:rsidR="001957CA" w:rsidRPr="001957CA" w:rsidRDefault="001957CA" w:rsidP="001957CA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1957CA">
              <w:rPr>
                <w:sz w:val="18"/>
                <w:szCs w:val="18"/>
              </w:rPr>
              <w:t>Armenia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70CEFA8" w14:textId="38E5E53F" w:rsidR="001957CA" w:rsidRPr="001957CA" w:rsidRDefault="001957CA" w:rsidP="001957CA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1957CA">
              <w:rPr>
                <w:sz w:val="18"/>
                <w:szCs w:val="18"/>
              </w:rPr>
              <w:t>Belarus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652D18D" w14:textId="00C9F786" w:rsidR="001957CA" w:rsidRPr="001957CA" w:rsidRDefault="001957CA" w:rsidP="001957CA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1957CA">
              <w:rPr>
                <w:sz w:val="18"/>
                <w:szCs w:val="18"/>
              </w:rPr>
              <w:t>Kazakhstan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23E000A" w14:textId="587691BC" w:rsidR="001957CA" w:rsidRPr="001957CA" w:rsidRDefault="001957CA" w:rsidP="001957CA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1957CA">
              <w:rPr>
                <w:sz w:val="18"/>
                <w:szCs w:val="18"/>
              </w:rPr>
              <w:t>Kyrgyzstan</w:t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F945619" w14:textId="3F9FD941" w:rsidR="001957CA" w:rsidRPr="001957CA" w:rsidRDefault="001957CA" w:rsidP="001957CA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1957CA">
              <w:rPr>
                <w:sz w:val="18"/>
                <w:szCs w:val="18"/>
              </w:rPr>
              <w:t>Moldova</w:t>
            </w: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234384CD" w14:textId="725E6AE0" w:rsidR="001957CA" w:rsidRPr="001957CA" w:rsidRDefault="001957CA" w:rsidP="001957CA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1957CA">
              <w:rPr>
                <w:sz w:val="18"/>
                <w:szCs w:val="18"/>
              </w:rPr>
              <w:t>Russian Federation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04A69D6" w14:textId="7ACEA852" w:rsidR="001957CA" w:rsidRPr="001957CA" w:rsidRDefault="001957CA" w:rsidP="001957CA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1957CA">
              <w:rPr>
                <w:sz w:val="18"/>
                <w:szCs w:val="18"/>
              </w:rPr>
              <w:t>Tajikistan</w:t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1CB2DE0" w14:textId="08A2448C" w:rsidR="001957CA" w:rsidRPr="001957CA" w:rsidRDefault="001957CA" w:rsidP="001957CA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1957CA">
              <w:rPr>
                <w:sz w:val="18"/>
                <w:szCs w:val="18"/>
              </w:rPr>
              <w:t>Turkmenistan</w:t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AABE363" w14:textId="455AF3B3" w:rsidR="001957CA" w:rsidRPr="001957CA" w:rsidRDefault="001957CA" w:rsidP="001957CA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1957CA">
              <w:rPr>
                <w:sz w:val="18"/>
                <w:szCs w:val="18"/>
              </w:rPr>
              <w:t>Uzbekistan</w:t>
            </w:r>
          </w:p>
        </w:tc>
      </w:tr>
      <w:tr w:rsidR="001957CA" w:rsidRPr="00BE73CC" w14:paraId="244834DF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1062972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2470C6EB" w14:textId="5600EC5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8BEA4F" w14:textId="00722D5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A8905F" w14:textId="594AD470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B764C6" w14:textId="26C4AAC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A1FF15" w14:textId="64938BA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C3ABD5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A3F719" w14:textId="0B60CFC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4B696E" w14:textId="1C1087F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18514A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F363CB" w14:textId="413C29A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580F7DC5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21057D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6ADC41E8" w14:textId="50730019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D955A6" w14:textId="770153B0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B783C5" w14:textId="290DD519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46D477" w14:textId="12B4EF0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51A00A" w14:textId="3FA2090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756C0F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BF5FC8" w14:textId="46410FC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CA3773" w14:textId="49084FD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BE0EAB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0459270" w14:textId="5EECBF0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071D8A34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558D96A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1C999219" w14:textId="7A078FE9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8693B6" w14:textId="2F85AC20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DD83A9" w14:textId="63B63B3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10BC5D" w14:textId="610B64FB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17310D" w14:textId="32D7DF9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C17D8A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F9EB59" w14:textId="1EA8D6E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C6BBD4" w14:textId="4E49473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208FA7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33D920" w14:textId="6C3DE70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37C17FBD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4B9DBF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56EF6C58" w14:textId="76F5D7C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1C6282" w14:textId="506404C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FBD656" w14:textId="5EF22C5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5A9B86" w14:textId="0B9B59E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0D4E4E" w14:textId="59170E3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81CC18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7F92AE" w14:textId="64895F7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2AEE83" w14:textId="6E67CE4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0CCE23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4CF78C" w14:textId="1F60E72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74405ECA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4E5340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78DC6CB4" w14:textId="2597BF4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4326E8" w14:textId="6239E5D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387351" w14:textId="7679365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ACA686" w14:textId="2325AF3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7D09B8" w14:textId="72E5900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EAA3AD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95E76F" w14:textId="6BD423C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DC6106" w14:textId="446C85A5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82D288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D3A3D2" w14:textId="124FDF6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02EA1571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8171BA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54F4E0A2" w14:textId="1D39A7A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5A8E8D" w14:textId="1FDA64E9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1BA00D" w14:textId="6882D0E5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D7CA9F" w14:textId="7D94D4A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84FC91" w14:textId="42B9C4C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DA3977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DB6E8F" w14:textId="6BBE481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2D461C" w14:textId="7DE0F06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E751B3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361C57" w14:textId="39745D7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sym w:font="Wingdings" w:char="F0FC"/>
            </w:r>
          </w:p>
        </w:tc>
      </w:tr>
      <w:tr w:rsidR="001957CA" w:rsidRPr="00BE73CC" w14:paraId="65CFE787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454FBD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2310EEA4" w14:textId="403360C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9FC00D" w14:textId="0E154A8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978E96" w14:textId="57B2B9B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345DE7E" w14:textId="7E8C9B7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A7564FB" w14:textId="7D6CC1B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AFEFE3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92B739" w14:textId="5051A01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8BE4CC" w14:textId="66786FB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D5067B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F666225" w14:textId="3563CBD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736249" w14:paraId="753BC6CB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F207D2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27230511" w14:textId="48DCA6F6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8627BC" w14:textId="53FDF7B8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AF0083" w14:textId="51152B34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B35153" w14:textId="3427502B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438551" w14:textId="76D7738C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5E35B1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3E99CC" w14:textId="4278A7E9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9F006C" w14:textId="29CE7EC5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E01CDB" w14:textId="71E21F55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BFCD82" w14:textId="0AD902EF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084BD6C4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466065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53ECC5E7" w14:textId="6666B61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/>
              </w:rPr>
              <w:t></w:t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710623" w14:textId="0D63F59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0530AD" w14:textId="6D653A42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292D05" w14:textId="5F78E312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B1004B" w14:textId="53BC52D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65112B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15062E2" w14:textId="7AC416C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EE3DC9" w14:textId="4FAB452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C51F02" w14:textId="78890072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438B83" w14:textId="3AE30B5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595C52CA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07ADD31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64847F49" w14:textId="6C4F40A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3EF3B" w14:textId="5EB0E59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CD90DB" w14:textId="319E9F3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3B2D60" w14:textId="2D4EFB6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48939E" w14:textId="5E9F5432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53E2C6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2F9F9F" w14:textId="216DD9E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0B5A7F" w14:textId="0E4D67A9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9B9BC4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B3A20A" w14:textId="4A8E71B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601FF5B5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E104A5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647C120B" w14:textId="7D91C42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CD239D" w14:textId="5C200C8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DBFBEE" w14:textId="72A65E6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5C8E49" w14:textId="737FAA7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CB6288" w14:textId="75C64CC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8FD758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451FF1" w14:textId="537B8D2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E71346" w14:textId="45E434B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DB6382" w14:textId="5EC6445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854E77" w14:textId="77398A5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736249" w14:paraId="0708CE1B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220FB9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46C2066C" w14:textId="757DDECF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7D2B63" w14:textId="4FFEF245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F639C1" w14:textId="02A12300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124AD9" w14:textId="7AC879FC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CE4756" w14:textId="31C1EF09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93ACA5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532044" w14:textId="77FBF253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09A0F3" w14:textId="7D7ED1DF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7078B9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D42129" w14:textId="0546445D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0DA0949C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D79BBA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257E1812" w14:textId="265B8DC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6E3AC9" w14:textId="30BFE3F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D21F77" w14:textId="2EDB92E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0DE82F" w14:textId="389F915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90FF47" w14:textId="40D1B17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9E4D70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0DAB43" w14:textId="47917E9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7000A2" w14:textId="3343EA2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D511C7" w14:textId="4F7A745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17F1B6" w14:textId="27CD305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6488F97A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71CEB4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7D13CBC5" w14:textId="4278034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7D327C" w14:textId="05F7EC6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06AADF" w14:textId="558166E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D5EF2C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4553BC" w14:textId="77B27D8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BAA2A96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30ADC8" w14:textId="15877E70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887C413" w14:textId="0A0A5E0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79CE77" w14:textId="4AC666D2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F28299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957CA" w:rsidRPr="00BE73CC" w14:paraId="436BD12A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D7AB9D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6DDF8E42" w14:textId="3863612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616D4B" w14:textId="5F4C2E40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AA9EB4" w14:textId="2E8ED7C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972BAA" w14:textId="38F9D83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731584" w14:textId="191CB40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0D2CFD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83BD0E" w14:textId="7D33A25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4F87F14" w14:textId="210BE97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2FF68F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12B30E" w14:textId="61080D8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61D5BB04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441120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4051BC6F" w14:textId="0CFD21E9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B6D6ED" w14:textId="4058212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600B73" w14:textId="662712B5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A43450" w14:textId="04058CA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77AC84" w14:textId="560023F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221A6C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5C6C3D" w14:textId="5E71761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B1332D" w14:textId="64C0086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054F72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C572E5" w14:textId="360F34C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54E61C9F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748428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13FEEE77" w14:textId="484B648E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0F0F57" w14:textId="0F5D7B6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CC5AB6" w14:textId="1B6336E2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CC0FDB8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2D22A39" w14:textId="6D7F7C22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AAB742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451DB1" w14:textId="4ECA264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190EA69" w14:textId="3C2B4A6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7DB98D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44365A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957CA" w:rsidRPr="00BE73CC" w14:paraId="5A9C696C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AE4D868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584EBCAF" w14:textId="63D3599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A97A89" w14:textId="0FDD428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3CEC85E" w14:textId="60B3C37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E97586" w14:textId="6B5F089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4E5212" w14:textId="3099A88B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AF65D0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3E1BE44" w14:textId="11E3AB2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4D3183" w14:textId="086A92B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713D57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4B08C5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957CA" w:rsidRPr="00736249" w14:paraId="3D9720BF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8537D1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3ABB0FC3" w14:textId="7B8A4D10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588694" w14:textId="4801F9B6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2FB455" w14:textId="0ED59F60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25EF2D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7558A70" w14:textId="7685E109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AC8C2D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8AA1F8" w14:textId="09171893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74783E" w14:textId="56166E15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35B17F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E74036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957CA" w:rsidRPr="00BE73CC" w14:paraId="362CCA5E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D02403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7102851E" w14:textId="3589FBB0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B9BDAC" w14:textId="76BC350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AE2701" w14:textId="28DED15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1B420F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C1F41F" w14:textId="7B1637A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BF055B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3D4175" w14:textId="1E62B91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0517B2" w14:textId="4C62BD7B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6ADA9B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516F70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957CA" w:rsidRPr="00BE73CC" w14:paraId="3C648DBA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5C5834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44B0BDD9" w14:textId="030BFEA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700A85" w14:textId="3EA17FF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505E3E" w14:textId="7A69F8D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3C46C4" w14:textId="4E7C190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73A9AA" w14:textId="09D857E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40BE25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BCB4DB0" w14:textId="4BB08A7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700DE9" w14:textId="39211A1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D28D98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8ED3EB" w14:textId="45F2488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1E356F43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9DEA9E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5D3E9C45" w14:textId="7AD660E0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FDDA0F" w14:textId="0D4F63CB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A346DE" w14:textId="4EE1C21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E28F30" w14:textId="45DED81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9BE46C" w14:textId="4B098B9B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970815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1DE96A" w14:textId="483D862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9074E8" w14:textId="7B51A0D9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1A340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40A637" w14:textId="059494A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1957CA" w:rsidRPr="00BE73CC" w14:paraId="59115D30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FA2ABF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524686DA" w14:textId="6DDC2FE2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6B02C24" w14:textId="4F1D6C4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F9A54D7" w14:textId="0AA17E31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B5AE5F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EF4C6D" w14:textId="020F68B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953CA3D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825B6F" w14:textId="243198F0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FA5990" w14:textId="1DC5023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4AB18B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89FF3B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957CA" w:rsidRPr="00BE73CC" w14:paraId="28AF45F9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30E3B7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109C9ED4" w14:textId="5CD6A29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5D918" w14:textId="1A8A1E1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E662C2" w14:textId="024B8828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677BAD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007576" w14:textId="3DC9099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A712FF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90A664" w14:textId="6482E0C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4C176F" w14:textId="0BF5AE6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2BAD48" w14:textId="6B3047C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A36039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957CA" w:rsidRPr="00BE73CC" w14:paraId="32D4517E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71C1E12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 w14:paraId="3CBA96B8" w14:textId="363FB85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34E630" w14:textId="445F3195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6F9501" w14:textId="369176B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B431D6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E8BCDA" w14:textId="66ACA689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A1D66F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AC0EA0" w14:textId="087DBAD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BA1A11" w14:textId="5A75F1F2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A86E774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46A087C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957CA" w:rsidRPr="00BE73CC" w14:paraId="4B74D4A4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471D73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193FA" w14:textId="2E1E8810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D6B770" w14:textId="6AA70C22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480074" w14:textId="2138AC13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4647E5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40E94C" w14:textId="040C08FA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42B890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AF4FBE" w14:textId="5CC10D0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930749" w14:textId="751E8855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8B5E81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B52C65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957CA" w:rsidRPr="00BE73CC" w14:paraId="5170A56F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0E6906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FF607" w14:textId="3A0408F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EE4522" w14:textId="6381D3CD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DEF3FA" w14:textId="5CC3B064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42BABA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02439E" w14:textId="36803AA9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E8DA44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0A42B0" w14:textId="70574680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AD2790" w14:textId="5F3885E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D3A00B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AFB2F1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957CA" w:rsidRPr="00736249" w14:paraId="1D833A31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878404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736249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06E7D" w14:textId="16769E75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FB6D80" w14:textId="5FA99B4F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A4BB44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B0EB88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48935B" w14:textId="08B8175E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549C075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691D67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99A42E" w14:textId="196539AF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3C2F2F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CEAF9F0" w14:textId="77777777" w:rsidR="001957CA" w:rsidRPr="00736249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  <w:tr w:rsidR="001957CA" w:rsidRPr="00BE73CC" w14:paraId="18C985B5" w14:textId="77777777" w:rsidTr="00EA040F">
        <w:trPr>
          <w:cantSplit/>
          <w:trHeight w:hRule="exact" w:val="245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5C20A6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</w:pPr>
            <w:r w:rsidRPr="00BE73CC">
              <w:rPr>
                <w:rFonts w:ascii="Times New Roman" w:eastAsia="Dotum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D58A5" w14:textId="70F2A9C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B1E91B2" w14:textId="382FFC1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C85F1C" w14:textId="63A2F129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F5A258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61D666" w14:textId="1DC6E19C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6AC506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1532F8" w14:textId="71C9EB5F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  <w:r w:rsidRPr="007E29B9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51525A" w14:textId="6A578336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D0FCB8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7BF742" w14:textId="77777777" w:rsidR="001957CA" w:rsidRPr="00BE73CC" w:rsidRDefault="001957CA" w:rsidP="001957CA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</w:tr>
    </w:tbl>
    <w:p w14:paraId="43D207C4" w14:textId="77777777" w:rsidR="008D1A24" w:rsidRDefault="008D1A24" w:rsidP="00A26251">
      <w:pPr>
        <w:rPr>
          <w:rFonts w:eastAsia="Calibri"/>
          <w:szCs w:val="24"/>
        </w:rPr>
      </w:pPr>
    </w:p>
    <w:p w14:paraId="2E131097" w14:textId="245DF6CE" w:rsidR="0073132F" w:rsidRPr="0007477F" w:rsidRDefault="0073132F" w:rsidP="00A26251">
      <w:pPr>
        <w:rPr>
          <w:rFonts w:eastAsia="Calibri"/>
          <w:szCs w:val="24"/>
        </w:rPr>
      </w:pPr>
      <w:r w:rsidRPr="0007477F">
        <w:rPr>
          <w:rFonts w:eastAsia="Calibri"/>
          <w:szCs w:val="24"/>
        </w:rPr>
        <w:t xml:space="preserve">* </w:t>
      </w:r>
      <w:r w:rsidR="00D75593">
        <w:rPr>
          <w:rFonts w:eastAsia="Calibri"/>
          <w:szCs w:val="24"/>
        </w:rPr>
        <w:t xml:space="preserve">To express support for </w:t>
      </w:r>
      <w:r w:rsidR="000561B2">
        <w:rPr>
          <w:rFonts w:eastAsia="Calibri"/>
          <w:szCs w:val="24"/>
        </w:rPr>
        <w:t xml:space="preserve">a </w:t>
      </w:r>
      <w:r w:rsidR="00D75593">
        <w:rPr>
          <w:rFonts w:eastAsia="Calibri"/>
          <w:szCs w:val="24"/>
        </w:rPr>
        <w:t xml:space="preserve">draft </w:t>
      </w:r>
      <w:r w:rsidR="00E73D5E">
        <w:rPr>
          <w:rFonts w:eastAsia="Calibri"/>
          <w:szCs w:val="24"/>
        </w:rPr>
        <w:t>contribution,</w:t>
      </w:r>
      <w:r w:rsidR="00D75593">
        <w:rPr>
          <w:rFonts w:eastAsia="Calibri"/>
          <w:szCs w:val="24"/>
        </w:rPr>
        <w:t xml:space="preserve"> </w:t>
      </w:r>
      <w:r w:rsidR="000561B2">
        <w:rPr>
          <w:rFonts w:eastAsia="Calibri"/>
          <w:szCs w:val="24"/>
        </w:rPr>
        <w:t>pl</w:t>
      </w:r>
      <w:r w:rsidR="00436D87">
        <w:rPr>
          <w:rFonts w:eastAsia="Calibri"/>
          <w:szCs w:val="24"/>
        </w:rPr>
        <w:t xml:space="preserve">ace a tick </w:t>
      </w:r>
      <w:r w:rsidR="00436D87" w:rsidRPr="0007477F">
        <w:rPr>
          <w:rFonts w:ascii="Wingdings" w:eastAsia="Calibri" w:hAnsi="Wingdings"/>
          <w:b/>
          <w:color w:val="0070C0"/>
          <w:szCs w:val="24"/>
        </w:rPr>
        <w:sym w:font="Wingdings" w:char="F0FC"/>
      </w:r>
      <w:r w:rsidR="00436D87">
        <w:rPr>
          <w:rFonts w:eastAsia="Calibri"/>
          <w:szCs w:val="24"/>
        </w:rPr>
        <w:t>in</w:t>
      </w:r>
      <w:r w:rsidR="000561B2">
        <w:rPr>
          <w:rFonts w:eastAsia="Calibri"/>
          <w:szCs w:val="24"/>
        </w:rPr>
        <w:t xml:space="preserve"> </w:t>
      </w:r>
      <w:r w:rsidR="00436D87">
        <w:rPr>
          <w:rFonts w:eastAsia="Calibri"/>
          <w:szCs w:val="24"/>
        </w:rPr>
        <w:t>the appropriate column of the table</w:t>
      </w:r>
      <w:r w:rsidR="000561B2">
        <w:rPr>
          <w:rFonts w:eastAsia="Calibri"/>
          <w:szCs w:val="24"/>
        </w:rPr>
        <w:t>.</w:t>
      </w:r>
    </w:p>
    <w:p w14:paraId="1D31B3B9" w14:textId="24A390C8" w:rsidR="009E1967" w:rsidRPr="0007477F" w:rsidRDefault="009E1967" w:rsidP="00A41A0D"/>
    <w:p w14:paraId="31F613BC" w14:textId="32A69EA2" w:rsidR="00A26251" w:rsidRPr="0007477F" w:rsidRDefault="00A26251" w:rsidP="00A26251">
      <w:pPr>
        <w:jc w:val="center"/>
      </w:pPr>
      <w:r w:rsidRPr="0007477F">
        <w:t>_______________</w:t>
      </w:r>
    </w:p>
    <w:sectPr w:rsidR="00A26251" w:rsidRPr="0007477F" w:rsidSect="008D1A24">
      <w:pgSz w:w="11907" w:h="16840" w:code="9"/>
      <w:pgMar w:top="1134" w:right="1134" w:bottom="1134" w:left="1134" w:header="42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7FEB" w14:textId="77777777" w:rsidR="00DD6759" w:rsidRDefault="00DD6759">
      <w:r>
        <w:separator/>
      </w:r>
    </w:p>
  </w:endnote>
  <w:endnote w:type="continuationSeparator" w:id="0">
    <w:p w14:paraId="07773901" w14:textId="77777777" w:rsidR="00DD6759" w:rsidRDefault="00DD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4D5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09CFD4" w14:textId="610CCAF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46038">
      <w:rPr>
        <w:noProof/>
      </w:rPr>
      <w:t>11.02.22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A5F5" w14:textId="77777777" w:rsidR="00DD6759" w:rsidRDefault="00DD6759">
      <w:r>
        <w:rPr>
          <w:b/>
        </w:rPr>
        <w:t>_______________</w:t>
      </w:r>
    </w:p>
  </w:footnote>
  <w:footnote w:type="continuationSeparator" w:id="0">
    <w:p w14:paraId="2AE2E4AE" w14:textId="77777777" w:rsidR="00DD6759" w:rsidRDefault="00DD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0387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A8FBFB" w14:textId="77777777" w:rsidR="007943C6" w:rsidRDefault="007943C6" w:rsidP="007943C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0C99487" w14:textId="6D8678B2" w:rsidR="00AC5514" w:rsidRDefault="00127ED9" w:rsidP="001E1BAE">
    <w:pPr>
      <w:pStyle w:val="Header"/>
      <w:tabs>
        <w:tab w:val="clear" w:pos="1134"/>
        <w:tab w:val="clear" w:pos="1871"/>
        <w:tab w:val="clear" w:pos="2268"/>
        <w:tab w:val="center" w:pos="7371"/>
      </w:tabs>
      <w:rPr>
        <w:i/>
      </w:rPr>
    </w:pPr>
    <w:r>
      <w:t xml:space="preserve">Document </w:t>
    </w:r>
    <w:r w:rsidR="007943C6">
      <w:t>40-E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ED13ECC"/>
    <w:multiLevelType w:val="hybridMultilevel"/>
    <w:tmpl w:val="D3B20590"/>
    <w:lvl w:ilvl="0" w:tplc="CE7641F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561B2"/>
    <w:rsid w:val="00063D0B"/>
    <w:rsid w:val="0006471F"/>
    <w:rsid w:val="0007477F"/>
    <w:rsid w:val="00077239"/>
    <w:rsid w:val="000807E9"/>
    <w:rsid w:val="00086491"/>
    <w:rsid w:val="00086CB6"/>
    <w:rsid w:val="00090465"/>
    <w:rsid w:val="00091346"/>
    <w:rsid w:val="0009706C"/>
    <w:rsid w:val="000C6646"/>
    <w:rsid w:val="000F73FF"/>
    <w:rsid w:val="001059D5"/>
    <w:rsid w:val="00114CF7"/>
    <w:rsid w:val="0011617B"/>
    <w:rsid w:val="00123B68"/>
    <w:rsid w:val="00126F2E"/>
    <w:rsid w:val="00127ED9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957CA"/>
    <w:rsid w:val="001C3B5F"/>
    <w:rsid w:val="001D058F"/>
    <w:rsid w:val="001E1BAE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D73EF"/>
    <w:rsid w:val="002F2D0C"/>
    <w:rsid w:val="00300E61"/>
    <w:rsid w:val="00316B80"/>
    <w:rsid w:val="003251EA"/>
    <w:rsid w:val="0034635C"/>
    <w:rsid w:val="00377BD3"/>
    <w:rsid w:val="00384088"/>
    <w:rsid w:val="0039169B"/>
    <w:rsid w:val="00394470"/>
    <w:rsid w:val="0039529A"/>
    <w:rsid w:val="003A7F8C"/>
    <w:rsid w:val="003B192F"/>
    <w:rsid w:val="003B532E"/>
    <w:rsid w:val="003D0F8B"/>
    <w:rsid w:val="003F020A"/>
    <w:rsid w:val="0041348E"/>
    <w:rsid w:val="00420EDB"/>
    <w:rsid w:val="00436D87"/>
    <w:rsid w:val="004373CA"/>
    <w:rsid w:val="004420C9"/>
    <w:rsid w:val="004428EF"/>
    <w:rsid w:val="0046022D"/>
    <w:rsid w:val="00465799"/>
    <w:rsid w:val="00471EF9"/>
    <w:rsid w:val="00481192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85313"/>
    <w:rsid w:val="0069276B"/>
    <w:rsid w:val="00692833"/>
    <w:rsid w:val="006A6E9B"/>
    <w:rsid w:val="006A72A4"/>
    <w:rsid w:val="006B48C6"/>
    <w:rsid w:val="006B7C2A"/>
    <w:rsid w:val="006C23DA"/>
    <w:rsid w:val="006E3D45"/>
    <w:rsid w:val="006E6EE0"/>
    <w:rsid w:val="00700547"/>
    <w:rsid w:val="00707E39"/>
    <w:rsid w:val="007149F9"/>
    <w:rsid w:val="007306D3"/>
    <w:rsid w:val="0073132F"/>
    <w:rsid w:val="0073238C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943C6"/>
    <w:rsid w:val="007D5320"/>
    <w:rsid w:val="007E51BA"/>
    <w:rsid w:val="007E66EA"/>
    <w:rsid w:val="007F3C67"/>
    <w:rsid w:val="00800972"/>
    <w:rsid w:val="00804475"/>
    <w:rsid w:val="00811633"/>
    <w:rsid w:val="00846038"/>
    <w:rsid w:val="008508D8"/>
    <w:rsid w:val="00864CD2"/>
    <w:rsid w:val="00872FC8"/>
    <w:rsid w:val="008845D0"/>
    <w:rsid w:val="008A5A2F"/>
    <w:rsid w:val="008B1AEA"/>
    <w:rsid w:val="008B43F2"/>
    <w:rsid w:val="008B6CFF"/>
    <w:rsid w:val="008D1A24"/>
    <w:rsid w:val="008E4BBE"/>
    <w:rsid w:val="008E67E5"/>
    <w:rsid w:val="008F08A1"/>
    <w:rsid w:val="008F7D1E"/>
    <w:rsid w:val="00910597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A473A"/>
    <w:rsid w:val="009B59BB"/>
    <w:rsid w:val="009B60E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26251"/>
    <w:rsid w:val="00A30305"/>
    <w:rsid w:val="00A31D2D"/>
    <w:rsid w:val="00A36DF9"/>
    <w:rsid w:val="00A41A0D"/>
    <w:rsid w:val="00A41CB8"/>
    <w:rsid w:val="00A4436F"/>
    <w:rsid w:val="00A4600A"/>
    <w:rsid w:val="00A538A6"/>
    <w:rsid w:val="00A54C25"/>
    <w:rsid w:val="00A710E7"/>
    <w:rsid w:val="00A7372E"/>
    <w:rsid w:val="00A7491E"/>
    <w:rsid w:val="00A93B85"/>
    <w:rsid w:val="00AA0B18"/>
    <w:rsid w:val="00AA666F"/>
    <w:rsid w:val="00AB416A"/>
    <w:rsid w:val="00AB7C5F"/>
    <w:rsid w:val="00AC296C"/>
    <w:rsid w:val="00AC4345"/>
    <w:rsid w:val="00AC5514"/>
    <w:rsid w:val="00AF603B"/>
    <w:rsid w:val="00B529AD"/>
    <w:rsid w:val="00B6324B"/>
    <w:rsid w:val="00B639E9"/>
    <w:rsid w:val="00B807B0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75593"/>
    <w:rsid w:val="00D801ED"/>
    <w:rsid w:val="00D936BC"/>
    <w:rsid w:val="00D96530"/>
    <w:rsid w:val="00DC692B"/>
    <w:rsid w:val="00DD44AF"/>
    <w:rsid w:val="00DD6759"/>
    <w:rsid w:val="00DE2AC3"/>
    <w:rsid w:val="00DE5692"/>
    <w:rsid w:val="00DF3E19"/>
    <w:rsid w:val="00DF6908"/>
    <w:rsid w:val="00E0231F"/>
    <w:rsid w:val="00E03C94"/>
    <w:rsid w:val="00E12847"/>
    <w:rsid w:val="00E13A60"/>
    <w:rsid w:val="00E2134A"/>
    <w:rsid w:val="00E26226"/>
    <w:rsid w:val="00E409EC"/>
    <w:rsid w:val="00E45D05"/>
    <w:rsid w:val="00E55816"/>
    <w:rsid w:val="00E55AEF"/>
    <w:rsid w:val="00E73D5E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43975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245BA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132F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3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7943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C5CE28401741E5BEB25992E4EB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51BD-C902-4D3D-B84C-A4A21FD4ED68}"/>
      </w:docPartPr>
      <w:docPartBody>
        <w:p w:rsidR="0013492A" w:rsidRDefault="00AB1AEB" w:rsidP="00AB1AEB">
          <w:pPr>
            <w:pStyle w:val="7DC5CE28401741E5BEB25992E4EB0A40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EB"/>
    <w:rsid w:val="0013492A"/>
    <w:rsid w:val="00AB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AEB"/>
    <w:rPr>
      <w:color w:val="808080"/>
    </w:rPr>
  </w:style>
  <w:style w:type="paragraph" w:customStyle="1" w:styleId="7DC5CE28401741E5BEB25992E4EB0A40">
    <w:name w:val="7DC5CE28401741E5BEB25992E4EB0A40"/>
    <w:rsid w:val="00AB1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68BE-9D14-4600-AB27-AEB117DC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1009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English</dc:creator>
  <cp:keywords>Template 2016.06.06</cp:keywords>
  <dc:description>Template used by DPM and CPI for the WTSA-20</dc:description>
  <cp:lastModifiedBy>TSB (RC)</cp:lastModifiedBy>
  <cp:revision>4</cp:revision>
  <cp:lastPrinted>2016-06-06T07:49:00Z</cp:lastPrinted>
  <dcterms:created xsi:type="dcterms:W3CDTF">2022-02-11T12:22:00Z</dcterms:created>
  <dcterms:modified xsi:type="dcterms:W3CDTF">2022-02-11T12:42:00Z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