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ook w:val="0000" w:firstRow="0" w:lastRow="0" w:firstColumn="0" w:lastColumn="0" w:noHBand="0" w:noVBand="0"/>
      </w:tblPr>
      <w:tblGrid>
        <w:gridCol w:w="6613"/>
        <w:gridCol w:w="3198"/>
      </w:tblGrid>
      <w:tr w:rsidR="009B0563" w:rsidRPr="0034334E" w14:paraId="4B7C7B87" w14:textId="77777777" w:rsidTr="009B0563">
        <w:trPr>
          <w:cantSplit/>
        </w:trPr>
        <w:tc>
          <w:tcPr>
            <w:tcW w:w="6613" w:type="dxa"/>
            <w:vAlign w:val="center"/>
          </w:tcPr>
          <w:p w14:paraId="02F61C4C" w14:textId="77777777" w:rsidR="009B0563" w:rsidRPr="0034334E" w:rsidRDefault="009B0563" w:rsidP="004B520A">
            <w:pPr>
              <w:rPr>
                <w:rFonts w:ascii="Verdana" w:hAnsi="Verdana" w:cs="Times New Roman Bold"/>
                <w:b/>
                <w:bCs/>
                <w:sz w:val="22"/>
                <w:szCs w:val="22"/>
              </w:rPr>
            </w:pPr>
            <w:r w:rsidRPr="0034334E">
              <w:rPr>
                <w:rFonts w:ascii="Verdana" w:hAnsi="Verdana" w:cs="Times New Roman Bold"/>
                <w:b/>
                <w:bCs/>
                <w:sz w:val="22"/>
                <w:szCs w:val="22"/>
              </w:rPr>
              <w:t>Asamblea Mundial de Normalización de las Telecomunicaciones (AMNT-20)</w:t>
            </w:r>
          </w:p>
          <w:p w14:paraId="36A844E2" w14:textId="77777777" w:rsidR="009B0563" w:rsidRPr="0034334E" w:rsidRDefault="00B9677E" w:rsidP="00776E3D">
            <w:pPr>
              <w:spacing w:before="0"/>
              <w:rPr>
                <w:rFonts w:ascii="Verdana" w:hAnsi="Verdana" w:cs="Times New Roman Bold"/>
                <w:b/>
                <w:bCs/>
                <w:sz w:val="19"/>
                <w:szCs w:val="19"/>
              </w:rPr>
            </w:pPr>
            <w:r w:rsidRPr="0034334E">
              <w:rPr>
                <w:rFonts w:ascii="Verdana" w:hAnsi="Verdana" w:cs="Times New Roman Bold"/>
                <w:b/>
                <w:bCs/>
                <w:sz w:val="18"/>
                <w:szCs w:val="18"/>
              </w:rPr>
              <w:t>Ginebra</w:t>
            </w:r>
            <w:r w:rsidR="0094505C" w:rsidRPr="0034334E">
              <w:rPr>
                <w:rFonts w:ascii="Verdana" w:hAnsi="Verdana" w:cs="Times New Roman Bold"/>
                <w:b/>
                <w:bCs/>
                <w:sz w:val="18"/>
                <w:szCs w:val="18"/>
              </w:rPr>
              <w:t>,</w:t>
            </w:r>
            <w:r w:rsidR="00776E3D" w:rsidRPr="0034334E">
              <w:rPr>
                <w:rFonts w:ascii="Verdana" w:hAnsi="Verdana" w:cs="Times New Roman Bold"/>
                <w:b/>
                <w:bCs/>
                <w:sz w:val="18"/>
                <w:szCs w:val="18"/>
              </w:rPr>
              <w:t xml:space="preserve"> </w:t>
            </w:r>
            <w:r w:rsidR="0094505C" w:rsidRPr="0034334E">
              <w:rPr>
                <w:rFonts w:ascii="Verdana" w:hAnsi="Verdana" w:cs="Times New Roman Bold"/>
                <w:b/>
                <w:bCs/>
                <w:sz w:val="18"/>
                <w:szCs w:val="18"/>
              </w:rPr>
              <w:t>1</w:t>
            </w:r>
            <w:r w:rsidR="00776E3D" w:rsidRPr="0034334E">
              <w:rPr>
                <w:rFonts w:ascii="Verdana" w:hAnsi="Verdana" w:cs="Times New Roman Bold"/>
                <w:b/>
                <w:bCs/>
                <w:sz w:val="18"/>
                <w:szCs w:val="18"/>
              </w:rPr>
              <w:t>-</w:t>
            </w:r>
            <w:r w:rsidR="0094505C" w:rsidRPr="0034334E">
              <w:rPr>
                <w:rFonts w:ascii="Verdana" w:hAnsi="Verdana" w:cs="Times New Roman Bold"/>
                <w:b/>
                <w:bCs/>
                <w:sz w:val="18"/>
                <w:szCs w:val="18"/>
              </w:rPr>
              <w:t xml:space="preserve">9 </w:t>
            </w:r>
            <w:r w:rsidR="00776E3D" w:rsidRPr="0034334E">
              <w:rPr>
                <w:rFonts w:ascii="Verdana" w:hAnsi="Verdana" w:cs="Times New Roman Bold"/>
                <w:b/>
                <w:bCs/>
                <w:sz w:val="18"/>
                <w:szCs w:val="18"/>
              </w:rPr>
              <w:t>de marzo de 202</w:t>
            </w:r>
            <w:r w:rsidR="0094505C" w:rsidRPr="0034334E">
              <w:rPr>
                <w:rFonts w:ascii="Verdana" w:hAnsi="Verdana" w:cs="Times New Roman Bold"/>
                <w:b/>
                <w:bCs/>
                <w:sz w:val="18"/>
                <w:szCs w:val="18"/>
              </w:rPr>
              <w:t>2</w:t>
            </w:r>
          </w:p>
        </w:tc>
        <w:tc>
          <w:tcPr>
            <w:tcW w:w="3198" w:type="dxa"/>
            <w:vAlign w:val="center"/>
          </w:tcPr>
          <w:p w14:paraId="7067718F" w14:textId="77777777" w:rsidR="009B0563" w:rsidRPr="0034334E" w:rsidRDefault="009B0563" w:rsidP="009B0563">
            <w:pPr>
              <w:spacing w:before="0"/>
            </w:pPr>
            <w:r w:rsidRPr="0034334E">
              <w:rPr>
                <w:noProof/>
              </w:rPr>
              <w:drawing>
                <wp:inline distT="0" distB="0" distL="0" distR="0" wp14:anchorId="23C5915C" wp14:editId="6D663ECD">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F0220A" w:rsidRPr="0034334E" w14:paraId="7574AC60" w14:textId="77777777" w:rsidTr="004B520A">
        <w:trPr>
          <w:cantSplit/>
        </w:trPr>
        <w:tc>
          <w:tcPr>
            <w:tcW w:w="6613" w:type="dxa"/>
            <w:tcBorders>
              <w:bottom w:val="single" w:sz="12" w:space="0" w:color="auto"/>
            </w:tcBorders>
          </w:tcPr>
          <w:p w14:paraId="019BB833" w14:textId="77777777" w:rsidR="00F0220A" w:rsidRPr="0034334E" w:rsidRDefault="00F0220A" w:rsidP="004B520A">
            <w:pPr>
              <w:spacing w:before="0"/>
            </w:pPr>
          </w:p>
        </w:tc>
        <w:tc>
          <w:tcPr>
            <w:tcW w:w="3198" w:type="dxa"/>
            <w:tcBorders>
              <w:bottom w:val="single" w:sz="12" w:space="0" w:color="auto"/>
            </w:tcBorders>
          </w:tcPr>
          <w:p w14:paraId="4DF61AF3" w14:textId="77777777" w:rsidR="00F0220A" w:rsidRPr="0034334E" w:rsidRDefault="00F0220A" w:rsidP="004B520A">
            <w:pPr>
              <w:spacing w:before="0"/>
            </w:pPr>
          </w:p>
        </w:tc>
      </w:tr>
      <w:tr w:rsidR="005A374D" w:rsidRPr="0034334E" w14:paraId="0DCDA8F9" w14:textId="77777777" w:rsidTr="004B520A">
        <w:trPr>
          <w:cantSplit/>
        </w:trPr>
        <w:tc>
          <w:tcPr>
            <w:tcW w:w="6613" w:type="dxa"/>
            <w:tcBorders>
              <w:top w:val="single" w:sz="12" w:space="0" w:color="auto"/>
            </w:tcBorders>
          </w:tcPr>
          <w:p w14:paraId="1805CAD9" w14:textId="77777777" w:rsidR="005A374D" w:rsidRPr="0034334E" w:rsidRDefault="005A374D" w:rsidP="004B520A">
            <w:pPr>
              <w:spacing w:before="0"/>
            </w:pPr>
          </w:p>
        </w:tc>
        <w:tc>
          <w:tcPr>
            <w:tcW w:w="3198" w:type="dxa"/>
          </w:tcPr>
          <w:p w14:paraId="3143B6EE" w14:textId="77777777" w:rsidR="005A374D" w:rsidRPr="0034334E" w:rsidRDefault="005A374D" w:rsidP="004B520A">
            <w:pPr>
              <w:spacing w:before="0"/>
              <w:rPr>
                <w:rFonts w:ascii="Verdana" w:hAnsi="Verdana"/>
                <w:b/>
                <w:bCs/>
                <w:sz w:val="20"/>
              </w:rPr>
            </w:pPr>
          </w:p>
        </w:tc>
      </w:tr>
      <w:tr w:rsidR="00E83D45" w:rsidRPr="0034334E" w14:paraId="48FC7126" w14:textId="77777777" w:rsidTr="004B520A">
        <w:trPr>
          <w:cantSplit/>
        </w:trPr>
        <w:tc>
          <w:tcPr>
            <w:tcW w:w="6613" w:type="dxa"/>
          </w:tcPr>
          <w:p w14:paraId="25D80A23" w14:textId="77777777" w:rsidR="00E83D45" w:rsidRPr="0034334E" w:rsidRDefault="00E83D45" w:rsidP="004B520A">
            <w:pPr>
              <w:pStyle w:val="Committee"/>
              <w:framePr w:hSpace="0" w:wrap="auto" w:hAnchor="text" w:yAlign="inline"/>
              <w:rPr>
                <w:lang w:val="es-ES_tradnl"/>
              </w:rPr>
            </w:pPr>
            <w:r w:rsidRPr="0034334E">
              <w:rPr>
                <w:lang w:val="es-ES_tradnl"/>
              </w:rPr>
              <w:t>SESIÓN PLENARIA</w:t>
            </w:r>
          </w:p>
        </w:tc>
        <w:tc>
          <w:tcPr>
            <w:tcW w:w="3198" w:type="dxa"/>
          </w:tcPr>
          <w:p w14:paraId="6C09A499" w14:textId="77777777" w:rsidR="00E83D45" w:rsidRPr="0034334E" w:rsidRDefault="00E83D45" w:rsidP="002E5627">
            <w:pPr>
              <w:pStyle w:val="DocNumber"/>
              <w:rPr>
                <w:bCs/>
                <w:lang w:val="es-ES_tradnl"/>
              </w:rPr>
            </w:pPr>
            <w:r w:rsidRPr="0034334E">
              <w:rPr>
                <w:lang w:val="es-ES_tradnl"/>
              </w:rPr>
              <w:t>Addéndum 32 al</w:t>
            </w:r>
            <w:r w:rsidRPr="0034334E">
              <w:rPr>
                <w:lang w:val="es-ES_tradnl"/>
              </w:rPr>
              <w:br/>
              <w:t>Documento 39-S</w:t>
            </w:r>
          </w:p>
        </w:tc>
      </w:tr>
      <w:tr w:rsidR="00E83D45" w:rsidRPr="0034334E" w14:paraId="7F44A966" w14:textId="77777777" w:rsidTr="004B520A">
        <w:trPr>
          <w:cantSplit/>
        </w:trPr>
        <w:tc>
          <w:tcPr>
            <w:tcW w:w="6613" w:type="dxa"/>
          </w:tcPr>
          <w:p w14:paraId="178DAA7B" w14:textId="77777777" w:rsidR="00E83D45" w:rsidRPr="0034334E" w:rsidRDefault="00E83D45" w:rsidP="004B520A">
            <w:pPr>
              <w:spacing w:before="0" w:after="48"/>
              <w:rPr>
                <w:rFonts w:ascii="Verdana" w:hAnsi="Verdana"/>
                <w:b/>
                <w:smallCaps/>
                <w:sz w:val="20"/>
              </w:rPr>
            </w:pPr>
          </w:p>
        </w:tc>
        <w:tc>
          <w:tcPr>
            <w:tcW w:w="3198" w:type="dxa"/>
          </w:tcPr>
          <w:p w14:paraId="30D1E4D6" w14:textId="77777777" w:rsidR="00E83D45" w:rsidRPr="0034334E" w:rsidRDefault="00E83D45" w:rsidP="004B520A">
            <w:pPr>
              <w:spacing w:before="0"/>
              <w:rPr>
                <w:rFonts w:ascii="Verdana" w:hAnsi="Verdana"/>
                <w:b/>
                <w:bCs/>
                <w:sz w:val="20"/>
              </w:rPr>
            </w:pPr>
            <w:r w:rsidRPr="0034334E">
              <w:rPr>
                <w:rFonts w:ascii="Verdana" w:hAnsi="Verdana"/>
                <w:b/>
                <w:sz w:val="20"/>
              </w:rPr>
              <w:t>19 de octubre de 2021</w:t>
            </w:r>
          </w:p>
        </w:tc>
      </w:tr>
      <w:tr w:rsidR="00E83D45" w:rsidRPr="0034334E" w14:paraId="1BC9653C" w14:textId="77777777" w:rsidTr="004B520A">
        <w:trPr>
          <w:cantSplit/>
        </w:trPr>
        <w:tc>
          <w:tcPr>
            <w:tcW w:w="6613" w:type="dxa"/>
          </w:tcPr>
          <w:p w14:paraId="0823AF16" w14:textId="77777777" w:rsidR="00E83D45" w:rsidRPr="0034334E" w:rsidRDefault="00E83D45" w:rsidP="004B520A">
            <w:pPr>
              <w:spacing w:before="0"/>
            </w:pPr>
          </w:p>
        </w:tc>
        <w:tc>
          <w:tcPr>
            <w:tcW w:w="3198" w:type="dxa"/>
          </w:tcPr>
          <w:p w14:paraId="5C008A60" w14:textId="77777777" w:rsidR="00E83D45" w:rsidRPr="0034334E" w:rsidRDefault="00E83D45" w:rsidP="004B520A">
            <w:pPr>
              <w:spacing w:before="0"/>
              <w:rPr>
                <w:rFonts w:ascii="Verdana" w:hAnsi="Verdana"/>
                <w:b/>
                <w:bCs/>
                <w:sz w:val="20"/>
              </w:rPr>
            </w:pPr>
            <w:r w:rsidRPr="0034334E">
              <w:rPr>
                <w:rFonts w:ascii="Verdana" w:hAnsi="Verdana"/>
                <w:b/>
                <w:sz w:val="20"/>
              </w:rPr>
              <w:t>Original: español</w:t>
            </w:r>
          </w:p>
        </w:tc>
      </w:tr>
      <w:tr w:rsidR="00681766" w:rsidRPr="0034334E" w14:paraId="0954020C" w14:textId="77777777" w:rsidTr="004B520A">
        <w:trPr>
          <w:cantSplit/>
        </w:trPr>
        <w:tc>
          <w:tcPr>
            <w:tcW w:w="9811" w:type="dxa"/>
            <w:gridSpan w:val="2"/>
          </w:tcPr>
          <w:p w14:paraId="183D78E7" w14:textId="77777777" w:rsidR="00681766" w:rsidRPr="0034334E" w:rsidRDefault="00681766" w:rsidP="004B520A">
            <w:pPr>
              <w:spacing w:before="0"/>
              <w:rPr>
                <w:rFonts w:ascii="Verdana" w:hAnsi="Verdana"/>
                <w:b/>
                <w:bCs/>
                <w:sz w:val="20"/>
              </w:rPr>
            </w:pPr>
          </w:p>
        </w:tc>
      </w:tr>
      <w:tr w:rsidR="00E83D45" w:rsidRPr="0034334E" w14:paraId="6FDF7433" w14:textId="77777777" w:rsidTr="004B520A">
        <w:trPr>
          <w:cantSplit/>
        </w:trPr>
        <w:tc>
          <w:tcPr>
            <w:tcW w:w="9811" w:type="dxa"/>
            <w:gridSpan w:val="2"/>
          </w:tcPr>
          <w:p w14:paraId="76DF4ED0" w14:textId="77777777" w:rsidR="00E83D45" w:rsidRPr="0034334E" w:rsidRDefault="00E83D45" w:rsidP="004B520A">
            <w:pPr>
              <w:pStyle w:val="Source"/>
            </w:pPr>
            <w:r w:rsidRPr="0034334E">
              <w:t>Estados Miembros de la Comisión Interamericana de Telecomunicaciones (CITEL)</w:t>
            </w:r>
          </w:p>
        </w:tc>
      </w:tr>
      <w:tr w:rsidR="00E83D45" w:rsidRPr="0034334E" w14:paraId="5C98055F" w14:textId="77777777" w:rsidTr="004B520A">
        <w:trPr>
          <w:cantSplit/>
        </w:trPr>
        <w:tc>
          <w:tcPr>
            <w:tcW w:w="9811" w:type="dxa"/>
            <w:gridSpan w:val="2"/>
          </w:tcPr>
          <w:p w14:paraId="6A79C56E" w14:textId="638FBA1C" w:rsidR="00E83D45" w:rsidRPr="0034334E" w:rsidRDefault="00E83D45" w:rsidP="004B520A">
            <w:pPr>
              <w:pStyle w:val="Title1"/>
            </w:pPr>
            <w:r w:rsidRPr="0034334E">
              <w:t xml:space="preserve">PROYECTO DE NUEVA RESOLUCIÓN [IAP-3]: USO DE LAS INSTANCIAS PRESENCIALES Y VIRTUALES EN LAS ACTIVIDADES DEL SECTOR DE NORMALIZACIÓN DE LAS TELECOMUNICACIONES </w:t>
            </w:r>
            <w:r w:rsidR="003114A3">
              <w:t xml:space="preserve">de la uit </w:t>
            </w:r>
            <w:r w:rsidRPr="0034334E">
              <w:t>EN IGUALDAD DE CONDICIONES</w:t>
            </w:r>
          </w:p>
        </w:tc>
      </w:tr>
      <w:tr w:rsidR="00E83D45" w:rsidRPr="0034334E" w14:paraId="22A9E039" w14:textId="77777777" w:rsidTr="004B520A">
        <w:trPr>
          <w:cantSplit/>
        </w:trPr>
        <w:tc>
          <w:tcPr>
            <w:tcW w:w="9811" w:type="dxa"/>
            <w:gridSpan w:val="2"/>
          </w:tcPr>
          <w:p w14:paraId="4F12E361" w14:textId="77777777" w:rsidR="00E83D45" w:rsidRPr="0034334E" w:rsidRDefault="00E83D45" w:rsidP="004B520A">
            <w:pPr>
              <w:pStyle w:val="Title2"/>
            </w:pPr>
          </w:p>
        </w:tc>
      </w:tr>
      <w:tr w:rsidR="00E83D45" w:rsidRPr="0034334E" w14:paraId="5EAB759C" w14:textId="77777777" w:rsidTr="002E5627">
        <w:trPr>
          <w:cantSplit/>
          <w:trHeight w:hRule="exact" w:val="120"/>
        </w:trPr>
        <w:tc>
          <w:tcPr>
            <w:tcW w:w="9811" w:type="dxa"/>
            <w:gridSpan w:val="2"/>
          </w:tcPr>
          <w:p w14:paraId="6A0BB855" w14:textId="77777777" w:rsidR="00E83D45" w:rsidRPr="0034334E" w:rsidRDefault="00E83D45" w:rsidP="004B520A">
            <w:pPr>
              <w:pStyle w:val="Agendaitem"/>
            </w:pPr>
          </w:p>
        </w:tc>
      </w:tr>
    </w:tbl>
    <w:p w14:paraId="72CBCE9D" w14:textId="77777777" w:rsidR="006B0F54" w:rsidRPr="0034334E" w:rsidRDefault="006B0F54" w:rsidP="006B0F54"/>
    <w:tbl>
      <w:tblPr>
        <w:tblW w:w="5089" w:type="pct"/>
        <w:tblLayout w:type="fixed"/>
        <w:tblLook w:val="0000" w:firstRow="0" w:lastRow="0" w:firstColumn="0" w:lastColumn="0" w:noHBand="0" w:noVBand="0"/>
      </w:tblPr>
      <w:tblGrid>
        <w:gridCol w:w="1560"/>
        <w:gridCol w:w="8251"/>
      </w:tblGrid>
      <w:tr w:rsidR="006B0F54" w:rsidRPr="0034334E" w14:paraId="38A600BC" w14:textId="77777777" w:rsidTr="00193AD1">
        <w:trPr>
          <w:cantSplit/>
        </w:trPr>
        <w:tc>
          <w:tcPr>
            <w:tcW w:w="1560" w:type="dxa"/>
          </w:tcPr>
          <w:p w14:paraId="0FC26149" w14:textId="77777777" w:rsidR="006B0F54" w:rsidRPr="0034334E" w:rsidRDefault="006B0F54" w:rsidP="00193AD1">
            <w:r w:rsidRPr="0034334E">
              <w:rPr>
                <w:b/>
                <w:bCs/>
              </w:rPr>
              <w:t>Resumen:</w:t>
            </w:r>
          </w:p>
        </w:tc>
        <w:tc>
          <w:tcPr>
            <w:tcW w:w="8251" w:type="dxa"/>
          </w:tcPr>
          <w:p w14:paraId="2F1AF7ED" w14:textId="2A261FC5" w:rsidR="006B0F54" w:rsidRPr="0034334E" w:rsidRDefault="001463A8" w:rsidP="000D5E50">
            <w:pPr>
              <w:rPr>
                <w:color w:val="000000" w:themeColor="text1"/>
              </w:rPr>
            </w:pPr>
            <w:r w:rsidRPr="0034334E">
              <w:rPr>
                <w:color w:val="000000" w:themeColor="text1"/>
              </w:rPr>
              <w:t xml:space="preserve">El uso simultáneo de instancias presenciales y virtuales en las actividades del Sector de Normalización de las Telecomunicaciones de la </w:t>
            </w:r>
            <w:r w:rsidR="000D5E50" w:rsidRPr="0034334E">
              <w:rPr>
                <w:color w:val="000000" w:themeColor="text1"/>
              </w:rPr>
              <w:t>UIT</w:t>
            </w:r>
            <w:r w:rsidRPr="0034334E">
              <w:rPr>
                <w:color w:val="000000" w:themeColor="text1"/>
              </w:rPr>
              <w:t xml:space="preserve"> (UIT-T) se espera que contribuya a disminuir la brecha de estandarización (BSG) y a la generación de eficiencia en los procesos de normalización.</w:t>
            </w:r>
          </w:p>
        </w:tc>
      </w:tr>
    </w:tbl>
    <w:p w14:paraId="538AE069" w14:textId="15DC7EC6" w:rsidR="0051705A" w:rsidRPr="0034334E" w:rsidRDefault="001463A8" w:rsidP="001463A8">
      <w:pPr>
        <w:pStyle w:val="Headingb"/>
      </w:pPr>
      <w:r w:rsidRPr="0034334E">
        <w:t>Introducción</w:t>
      </w:r>
    </w:p>
    <w:p w14:paraId="048EF912" w14:textId="1E1C479B" w:rsidR="001463A8" w:rsidRPr="0034334E" w:rsidRDefault="001463A8" w:rsidP="001463A8">
      <w:r w:rsidRPr="0034334E">
        <w:t xml:space="preserve">Si bien se ha avanzado en el uso de métodos de trabajo electrónicos en el UIT-T, y la </w:t>
      </w:r>
      <w:r w:rsidR="000D5E50" w:rsidRPr="0034334E">
        <w:t>UIT</w:t>
      </w:r>
      <w:r w:rsidRPr="0034334E">
        <w:t xml:space="preserve"> ha generado una plataforma de trabajo virtual, todavía en el trabajo de las Comisiones de Estudio hay una brecha entre la realización de las reuniones en forma presencial y virtual.</w:t>
      </w:r>
    </w:p>
    <w:p w14:paraId="7BF5D3F8" w14:textId="0F892AF1" w:rsidR="001463A8" w:rsidRPr="0034334E" w:rsidRDefault="001463A8" w:rsidP="001463A8">
      <w:r w:rsidRPr="0034334E">
        <w:t xml:space="preserve">La situación de emergencia desencadenada por la pandemia del coronavirus COVID-19, ha generado una aceleración y utilización plena de la plataforma actual de colaboración posibilitando continuar los trabajos de las diferentes </w:t>
      </w:r>
      <w:r w:rsidR="00B7791A" w:rsidRPr="0034334E">
        <w:t xml:space="preserve">Comisiones de Estudio </w:t>
      </w:r>
      <w:r w:rsidRPr="0034334E">
        <w:t>en forma totalmente virtual, destacándose especialmente su empleo en las reuniones de</w:t>
      </w:r>
      <w:r w:rsidR="003114A3">
        <w:t>l</w:t>
      </w:r>
      <w:r w:rsidRPr="0034334E">
        <w:t xml:space="preserve"> UIT-T.</w:t>
      </w:r>
    </w:p>
    <w:p w14:paraId="20D1C649" w14:textId="68D056AB" w:rsidR="001463A8" w:rsidRPr="0034334E" w:rsidRDefault="001463A8" w:rsidP="001463A8">
      <w:r w:rsidRPr="0034334E">
        <w:t xml:space="preserve">En las reuniones de las </w:t>
      </w:r>
      <w:r w:rsidR="00B7791A" w:rsidRPr="0034334E">
        <w:t xml:space="preserve">Comisiones de Estudio </w:t>
      </w:r>
      <w:r w:rsidRPr="0034334E">
        <w:t xml:space="preserve">en tiempos de normalidad, la herramienta de participación virtual implementada por </w:t>
      </w:r>
      <w:r w:rsidR="003114A3">
        <w:t xml:space="preserve">el </w:t>
      </w:r>
      <w:r w:rsidRPr="0034334E">
        <w:t xml:space="preserve">UIT-T se ha subutilizado, siendo habilitada para algunas instancias puntuales. Independientemente, de llevarse a cabo una reunión virtual o presencial, dicha herramienta, debería estar siempre disponible y actualizada para todas las instancias y en cada una de las reuniones a realizarse. </w:t>
      </w:r>
    </w:p>
    <w:p w14:paraId="46F81C90" w14:textId="59C51FA1" w:rsidR="001463A8" w:rsidRPr="0034334E" w:rsidRDefault="001463A8" w:rsidP="001463A8">
      <w:r w:rsidRPr="0034334E">
        <w:t>En ese sentido, esta contribución propone el uso indistinto de las instancias presenciales y virtuales, de forma que la utilización de métodos de trabajo electrónicos sea igualitaria, simultánea e integrada totalmente a los métodos de trabajo presenciales.</w:t>
      </w:r>
    </w:p>
    <w:p w14:paraId="7A5B535A" w14:textId="32B2CD3D" w:rsidR="001463A8" w:rsidRPr="0034334E" w:rsidRDefault="001463A8" w:rsidP="001463A8">
      <w:pPr>
        <w:pStyle w:val="Headingb"/>
      </w:pPr>
      <w:r w:rsidRPr="0034334E">
        <w:lastRenderedPageBreak/>
        <w:t>Propuesta</w:t>
      </w:r>
    </w:p>
    <w:p w14:paraId="56EA65EF" w14:textId="4BFB109E" w:rsidR="001463A8" w:rsidRPr="0034334E" w:rsidRDefault="001463A8" w:rsidP="001463A8">
      <w:r w:rsidRPr="0034334E">
        <w:t>Los Estados Miembros de la CITEL proponen el proyecto de nueva Resolución adjunto, relativo al uso indistinto de las instancias presenciales y virtuales, de forma que la utilización de métodos de trabajo electrónicos sea igualitaria, simultánea e integrada totalmente a los métodos de trabajo presenciales.</w:t>
      </w:r>
    </w:p>
    <w:p w14:paraId="11D005DF" w14:textId="77777777" w:rsidR="00B07178" w:rsidRPr="0034334E" w:rsidRDefault="00B07178" w:rsidP="00C25B5B">
      <w:r w:rsidRPr="0034334E">
        <w:br w:type="page"/>
      </w:r>
    </w:p>
    <w:p w14:paraId="747DFACC" w14:textId="77777777" w:rsidR="00E83D45" w:rsidRPr="0034334E" w:rsidRDefault="00E83D45" w:rsidP="007E5A28"/>
    <w:p w14:paraId="200B6C8E" w14:textId="77777777" w:rsidR="00757058" w:rsidRPr="0034334E" w:rsidRDefault="003309E0">
      <w:pPr>
        <w:pStyle w:val="Proposal"/>
      </w:pPr>
      <w:r w:rsidRPr="0034334E">
        <w:t>ADD</w:t>
      </w:r>
      <w:r w:rsidRPr="0034334E">
        <w:tab/>
        <w:t>IAP/39A32/1</w:t>
      </w:r>
    </w:p>
    <w:p w14:paraId="71505495" w14:textId="3A2E13C3" w:rsidR="00E83D45" w:rsidRPr="0034334E" w:rsidRDefault="003309E0" w:rsidP="001463A8">
      <w:pPr>
        <w:pStyle w:val="ResNo"/>
      </w:pPr>
      <w:r w:rsidRPr="0034334E">
        <w:t>PROYECTO DE NUEVA RESOLUCIÓN</w:t>
      </w:r>
      <w:r w:rsidR="001463A8" w:rsidRPr="0034334E">
        <w:t xml:space="preserve"> [IAP-3] (</w:t>
      </w:r>
      <w:r w:rsidR="00AF67DD" w:rsidRPr="0034334E">
        <w:rPr>
          <w:caps w:val="0"/>
        </w:rPr>
        <w:t>Ginebra</w:t>
      </w:r>
      <w:r w:rsidR="001463A8" w:rsidRPr="0034334E">
        <w:t>, 2022)</w:t>
      </w:r>
    </w:p>
    <w:p w14:paraId="06EA6C02" w14:textId="4A75B6ED" w:rsidR="001463A8" w:rsidRPr="0034334E" w:rsidRDefault="00ED3838" w:rsidP="001463A8">
      <w:pPr>
        <w:pStyle w:val="Restitle"/>
      </w:pPr>
      <w:r w:rsidRPr="0034334E">
        <w:t xml:space="preserve">Uso de las instancias presenciales y virtuales en las actividades del sector de normalización de las telecomunicaciones </w:t>
      </w:r>
      <w:r w:rsidR="00AD056A" w:rsidRPr="0034334E">
        <w:t xml:space="preserve">de la UIT </w:t>
      </w:r>
      <w:r w:rsidRPr="0034334E">
        <w:t>en igualdad de condiciones</w:t>
      </w:r>
    </w:p>
    <w:p w14:paraId="1C0DCD52" w14:textId="53737B32" w:rsidR="00AF67DD" w:rsidRPr="0034334E" w:rsidRDefault="00AF67DD" w:rsidP="00AF67DD">
      <w:pPr>
        <w:pStyle w:val="Resref"/>
      </w:pPr>
      <w:r w:rsidRPr="0034334E">
        <w:t>(Ginebra, 2022)</w:t>
      </w:r>
    </w:p>
    <w:p w14:paraId="31C9BF88" w14:textId="4D398E5C" w:rsidR="00757058" w:rsidRPr="0034334E" w:rsidRDefault="00AF67DD" w:rsidP="00AF67DD">
      <w:pPr>
        <w:pStyle w:val="Normalaftertitle"/>
      </w:pPr>
      <w:r w:rsidRPr="0034334E">
        <w:t>La Asamblea Mundial de Normalización de las Telecomunicaciones (Ginebra, 2022),</w:t>
      </w:r>
    </w:p>
    <w:p w14:paraId="5FB29F68" w14:textId="77777777" w:rsidR="00AF67DD" w:rsidRPr="0034334E" w:rsidRDefault="00AF67DD" w:rsidP="00AF67DD">
      <w:pPr>
        <w:pStyle w:val="Call"/>
      </w:pPr>
      <w:r w:rsidRPr="0034334E">
        <w:t>considerando</w:t>
      </w:r>
    </w:p>
    <w:p w14:paraId="629A5217" w14:textId="2E058FC0" w:rsidR="00AF67DD" w:rsidRPr="0034334E" w:rsidRDefault="00AF67DD" w:rsidP="00AF67DD">
      <w:r w:rsidRPr="0034334E">
        <w:rPr>
          <w:i/>
          <w:iCs/>
        </w:rPr>
        <w:t>a)</w:t>
      </w:r>
      <w:r w:rsidRPr="0034334E">
        <w:tab/>
        <w:t>las dificultades que plantea para muchos países, aún en situaciones de normalidad sanitaria, la participación activa en las reuniones presenciales del Sector de Normalización de las Telecomunicaciones de la UIT (UIT-T);</w:t>
      </w:r>
    </w:p>
    <w:p w14:paraId="554C191E" w14:textId="7B8E8359" w:rsidR="00AF67DD" w:rsidRPr="0034334E" w:rsidRDefault="00AF67DD" w:rsidP="00AF67DD">
      <w:r w:rsidRPr="0034334E">
        <w:rPr>
          <w:i/>
          <w:iCs/>
        </w:rPr>
        <w:t>b)</w:t>
      </w:r>
      <w:r w:rsidRPr="0034334E">
        <w:tab/>
        <w:t>que dichas dificultades afectan con mayor rigor, a los países en desarrollo</w:t>
      </w:r>
      <w:r w:rsidRPr="0034334E">
        <w:rPr>
          <w:rStyle w:val="FootnoteReference"/>
        </w:rPr>
        <w:footnoteReference w:customMarkFollows="1" w:id="1"/>
        <w:t>1</w:t>
      </w:r>
      <w:r w:rsidRPr="0034334E">
        <w:t>; limitándolos a participar en las diferentes reuniones de forma presencial;</w:t>
      </w:r>
    </w:p>
    <w:p w14:paraId="34174ED5" w14:textId="01BF2088" w:rsidR="00AF67DD" w:rsidRPr="0034334E" w:rsidRDefault="00AF67DD" w:rsidP="00AF67DD">
      <w:r w:rsidRPr="0034334E">
        <w:rPr>
          <w:i/>
          <w:iCs/>
        </w:rPr>
        <w:t>c)</w:t>
      </w:r>
      <w:r w:rsidRPr="0034334E">
        <w:tab/>
        <w:t>la Resolución 64 (</w:t>
      </w:r>
      <w:r w:rsidR="0034334E" w:rsidRPr="0034334E">
        <w:t>Rev.</w:t>
      </w:r>
      <w:r w:rsidRPr="0034334E">
        <w:t xml:space="preserve"> Dubái, 2018) sobre acceso no discriminatorio a los modernos medios, servicios y aplicaciones de telecomunicaciones/tecnologías de la información y la comunicación, incluidas la investigación aplicada, la transferencia de tecnología y las reuniones por medios electrónicos, en condiciones mutuamente acordadas;</w:t>
      </w:r>
    </w:p>
    <w:p w14:paraId="23B0072C" w14:textId="65771CB7" w:rsidR="00AF67DD" w:rsidRPr="0034334E" w:rsidRDefault="00AF67DD" w:rsidP="00AF67DD">
      <w:r w:rsidRPr="0034334E">
        <w:rPr>
          <w:i/>
          <w:iCs/>
        </w:rPr>
        <w:t>d)</w:t>
      </w:r>
      <w:r w:rsidRPr="0034334E">
        <w:tab/>
        <w:t>la Resolución 123 (</w:t>
      </w:r>
      <w:r w:rsidR="0034334E" w:rsidRPr="0034334E">
        <w:t>Rev.</w:t>
      </w:r>
      <w:r w:rsidRPr="0034334E">
        <w:t xml:space="preserve"> Dubái, 2018) sobre la reducción de la brecha de normalización entre los países en desarrollo y los desarrollados;</w:t>
      </w:r>
    </w:p>
    <w:p w14:paraId="071BE37C" w14:textId="4B5ACB2A" w:rsidR="00AD056A" w:rsidRPr="0034334E" w:rsidRDefault="00AD056A" w:rsidP="00AD056A">
      <w:r w:rsidRPr="0034334E">
        <w:rPr>
          <w:i/>
          <w:iCs/>
        </w:rPr>
        <w:t>e)</w:t>
      </w:r>
      <w:r w:rsidRPr="0034334E">
        <w:tab/>
        <w:t>la Resolución 167 (Rev. Dubái, 2018)</w:t>
      </w:r>
      <w:r w:rsidR="002E510A" w:rsidRPr="0034334E">
        <w:t xml:space="preserve"> </w:t>
      </w:r>
      <w:r w:rsidRPr="0034334E">
        <w:t>sobre el fortalecimiento y fomento de las capacidades de la UIT para celebrar reuniones electrónicas y medios para avanzar la labor de la Unión,</w:t>
      </w:r>
    </w:p>
    <w:p w14:paraId="17320EB8" w14:textId="77777777" w:rsidR="00AF67DD" w:rsidRPr="0034334E" w:rsidRDefault="00AF67DD" w:rsidP="00AF67DD">
      <w:pPr>
        <w:pStyle w:val="Call"/>
      </w:pPr>
      <w:r w:rsidRPr="0034334E">
        <w:t>observando</w:t>
      </w:r>
    </w:p>
    <w:p w14:paraId="766B7963" w14:textId="77777777" w:rsidR="00AF67DD" w:rsidRPr="0034334E" w:rsidRDefault="00AF67DD" w:rsidP="00AF67DD">
      <w:r w:rsidRPr="0034334E">
        <w:rPr>
          <w:i/>
          <w:iCs/>
        </w:rPr>
        <w:t>a)</w:t>
      </w:r>
      <w:r w:rsidRPr="0034334E">
        <w:tab/>
        <w:t xml:space="preserve">que se ha producido una transformación y fortalecimiento de los métodos actuales de trabajo electrónicos (EWM, </w:t>
      </w:r>
      <w:r w:rsidRPr="0034334E">
        <w:rPr>
          <w:i/>
          <w:iCs/>
        </w:rPr>
        <w:t>electronic working methods</w:t>
      </w:r>
      <w:r w:rsidRPr="0034334E">
        <w:t>) de la UIT a raíz de la pandemia generada por el COVID 19;</w:t>
      </w:r>
    </w:p>
    <w:p w14:paraId="141CD549" w14:textId="77777777" w:rsidR="00AF67DD" w:rsidRPr="0034334E" w:rsidRDefault="00AF67DD" w:rsidP="00AF67DD">
      <w:pPr>
        <w:rPr>
          <w:lang w:eastAsia="es-ES"/>
        </w:rPr>
      </w:pPr>
      <w:r w:rsidRPr="0034334E">
        <w:rPr>
          <w:i/>
          <w:iCs/>
          <w:lang w:eastAsia="es-ES"/>
        </w:rPr>
        <w:t>b)</w:t>
      </w:r>
      <w:r w:rsidRPr="0034334E">
        <w:rPr>
          <w:lang w:eastAsia="es-ES"/>
        </w:rPr>
        <w:tab/>
        <w:t>que la situación de emergencia sanitaria mundial ha propiciado el uso de los EWM con las plataformas tecnológicas existentes y que éstas han demostrado cumplir con los resultados esperados;</w:t>
      </w:r>
    </w:p>
    <w:p w14:paraId="312F10FC" w14:textId="311D4CAF" w:rsidR="00AF67DD" w:rsidRPr="0034334E" w:rsidRDefault="00AF67DD" w:rsidP="00AF67DD">
      <w:r w:rsidRPr="0034334E">
        <w:rPr>
          <w:i/>
          <w:szCs w:val="22"/>
        </w:rPr>
        <w:t>c)</w:t>
      </w:r>
      <w:r w:rsidRPr="0034334E">
        <w:rPr>
          <w:iCs/>
          <w:szCs w:val="22"/>
        </w:rPr>
        <w:tab/>
        <w:t xml:space="preserve">que en tiempos de normalidad, se debe optimizar el aprovechamiento de las herramientas implementadas por </w:t>
      </w:r>
      <w:r w:rsidR="000D5E50" w:rsidRPr="0034334E">
        <w:rPr>
          <w:iCs/>
          <w:szCs w:val="22"/>
        </w:rPr>
        <w:t xml:space="preserve">la </w:t>
      </w:r>
      <w:r w:rsidRPr="0034334E">
        <w:rPr>
          <w:iCs/>
          <w:szCs w:val="22"/>
        </w:rPr>
        <w:t xml:space="preserve">UIT en las reuniones de las diferentes Comisiones de Estudio y actividades del Sector; </w:t>
      </w:r>
    </w:p>
    <w:p w14:paraId="4FD2C2C6" w14:textId="2ACBB698" w:rsidR="00AF67DD" w:rsidRPr="0034334E" w:rsidRDefault="00AF67DD" w:rsidP="00AF67DD">
      <w:r w:rsidRPr="0034334E">
        <w:rPr>
          <w:i/>
          <w:iCs/>
        </w:rPr>
        <w:t>d)</w:t>
      </w:r>
      <w:r w:rsidRPr="0034334E">
        <w:tab/>
        <w:t>que la facilidad de acceso virtual representa para los Miembros la oportunidad de incremento de su participación electrónica en la elaboración y aprobación de las Recomendaciones, en particular la de aquellos que tienen dificultades para participar en las reuniones presenciales de las Comisiones de Estudio y otras actividades del Sector,</w:t>
      </w:r>
    </w:p>
    <w:p w14:paraId="7CBCBAF7" w14:textId="77777777" w:rsidR="00AF67DD" w:rsidRPr="0034334E" w:rsidRDefault="00AF67DD" w:rsidP="00AF67DD">
      <w:pPr>
        <w:pStyle w:val="Call"/>
      </w:pPr>
      <w:r w:rsidRPr="0034334E">
        <w:lastRenderedPageBreak/>
        <w:t>considerando además</w:t>
      </w:r>
    </w:p>
    <w:p w14:paraId="6F5D7E54" w14:textId="77777777" w:rsidR="00AF67DD" w:rsidRPr="0034334E" w:rsidRDefault="00AF67DD" w:rsidP="00AF67DD">
      <w:pPr>
        <w:rPr>
          <w:lang w:eastAsia="es-ES"/>
        </w:rPr>
      </w:pPr>
      <w:r w:rsidRPr="0034334E">
        <w:t>que independientemente, de llevarse a cabo una reunión virtual o presencial, la herramienta debería de mantenerse siempre disponible y actualizada para todas las instancias, en cada una de las reuniones que se realicen,</w:t>
      </w:r>
    </w:p>
    <w:p w14:paraId="70C44C3B" w14:textId="77777777" w:rsidR="00AF67DD" w:rsidRPr="0034334E" w:rsidRDefault="00AF67DD" w:rsidP="00AF67DD">
      <w:pPr>
        <w:pStyle w:val="Call"/>
      </w:pPr>
      <w:r w:rsidRPr="0034334E">
        <w:t>resuelve</w:t>
      </w:r>
    </w:p>
    <w:p w14:paraId="35AD6D0B" w14:textId="45C676D7" w:rsidR="00AF67DD" w:rsidRPr="0034334E" w:rsidRDefault="00AF67DD" w:rsidP="00AF67DD">
      <w:pPr>
        <w:rPr>
          <w:iCs/>
          <w:szCs w:val="22"/>
        </w:rPr>
      </w:pPr>
      <w:r w:rsidRPr="0034334E">
        <w:t>1</w:t>
      </w:r>
      <w:r w:rsidRPr="0034334E">
        <w:tab/>
        <w:t xml:space="preserve">que se adopten las medidas necesarias, en materia </w:t>
      </w:r>
      <w:r w:rsidRPr="0034334E">
        <w:rPr>
          <w:iCs/>
          <w:szCs w:val="22"/>
        </w:rPr>
        <w:t xml:space="preserve">de métodos de trabajo electrónicos, </w:t>
      </w:r>
      <w:r w:rsidRPr="0034334E">
        <w:t xml:space="preserve">para que el acceso de manera virtual/remota de los miembros del UIT-T a todas las instancias de trabajo, sea en igualdad de condiciones con respecto a la participación de forma presencial, incluyendo </w:t>
      </w:r>
      <w:r w:rsidRPr="0034334E">
        <w:rPr>
          <w:iCs/>
          <w:szCs w:val="22"/>
        </w:rPr>
        <w:t>(bajo solicitud y en la medida de lo posible) la interpretación a los 6 idiomas oficiales</w:t>
      </w:r>
      <w:r w:rsidR="000D5E50" w:rsidRPr="0034334E">
        <w:rPr>
          <w:iCs/>
          <w:szCs w:val="22"/>
        </w:rPr>
        <w:t xml:space="preserve"> de la UIT</w:t>
      </w:r>
      <w:r w:rsidRPr="0034334E">
        <w:rPr>
          <w:iCs/>
          <w:szCs w:val="22"/>
        </w:rPr>
        <w:t xml:space="preserve">; </w:t>
      </w:r>
    </w:p>
    <w:p w14:paraId="593D1157" w14:textId="3F89F505" w:rsidR="00AF67DD" w:rsidRPr="0034334E" w:rsidRDefault="00AF67DD" w:rsidP="00AF67DD">
      <w:r w:rsidRPr="0034334E">
        <w:t>2</w:t>
      </w:r>
      <w:r w:rsidRPr="0034334E">
        <w:tab/>
        <w:t xml:space="preserve">que las instancias de trabajo a través de medios electrónicos sean consideradas igualitarias, simultáneas e integradas totalmente a los métodos de trabajo presenciales implementados por </w:t>
      </w:r>
      <w:r w:rsidR="000D5E50" w:rsidRPr="0034334E">
        <w:t xml:space="preserve">el </w:t>
      </w:r>
      <w:r w:rsidRPr="0034334E">
        <w:t>UIT</w:t>
      </w:r>
      <w:r w:rsidRPr="0034334E">
        <w:noBreakHyphen/>
        <w:t>T,</w:t>
      </w:r>
    </w:p>
    <w:p w14:paraId="16CF2859" w14:textId="77777777" w:rsidR="00AF67DD" w:rsidRPr="0034334E" w:rsidRDefault="00AF67DD" w:rsidP="00AF67DD">
      <w:pPr>
        <w:pStyle w:val="Call"/>
      </w:pPr>
      <w:r w:rsidRPr="0034334E">
        <w:t>encarga</w:t>
      </w:r>
    </w:p>
    <w:p w14:paraId="244BADD5" w14:textId="77777777" w:rsidR="00AF67DD" w:rsidRPr="0034334E" w:rsidRDefault="00AF67DD" w:rsidP="00AF67DD">
      <w:r w:rsidRPr="0034334E">
        <w:t>1</w:t>
      </w:r>
      <w:r w:rsidRPr="0034334E">
        <w:tab/>
        <w:t>al Director de la Oficina de Normalización de las Telecomunicaciones (TSB):</w:t>
      </w:r>
    </w:p>
    <w:p w14:paraId="06589382" w14:textId="31FF19DE" w:rsidR="00AF67DD" w:rsidRPr="0034334E" w:rsidRDefault="00AF67DD" w:rsidP="00AF67DD">
      <w:pPr>
        <w:pStyle w:val="enumlev1"/>
      </w:pPr>
      <w:r w:rsidRPr="0034334E">
        <w:t>•</w:t>
      </w:r>
      <w:r w:rsidRPr="0034334E">
        <w:tab/>
        <w:t>generar, en el menor plazo posible, las condiciones para llevar a cabo la presente resolución y realizar el seguimiento especialmente, en orden a reducir la brecha de la normalización (BSG, Bridging the Standardization Gap);</w:t>
      </w:r>
    </w:p>
    <w:p w14:paraId="0F1F8E83" w14:textId="471DAF73" w:rsidR="00AF67DD" w:rsidRPr="0034334E" w:rsidRDefault="00AF67DD" w:rsidP="00AF67DD">
      <w:pPr>
        <w:pStyle w:val="enumlev1"/>
      </w:pPr>
      <w:r w:rsidRPr="0034334E">
        <w:t>•</w:t>
      </w:r>
      <w:r w:rsidRPr="0034334E">
        <w:tab/>
        <w:t>analizar</w:t>
      </w:r>
      <w:r w:rsidR="000D5E50" w:rsidRPr="0034334E">
        <w:t>,</w:t>
      </w:r>
      <w:r w:rsidRPr="0034334E">
        <w:t xml:space="preserve"> en colaboración con los Directores de las Oficinas de Radiocomunicaciones y de Desarrollo a la posibilidad de extender esta propuesta a las actividades del resto de los Sectores de </w:t>
      </w:r>
      <w:r w:rsidR="000D5E50" w:rsidRPr="0034334E">
        <w:t xml:space="preserve">la </w:t>
      </w:r>
      <w:r w:rsidRPr="0034334E">
        <w:t>UIT;</w:t>
      </w:r>
    </w:p>
    <w:p w14:paraId="6428A5F4" w14:textId="79A15994" w:rsidR="00AF67DD" w:rsidRPr="0034334E" w:rsidRDefault="00AF67DD" w:rsidP="00AF67DD">
      <w:r w:rsidRPr="0034334E">
        <w:t>2</w:t>
      </w:r>
      <w:r w:rsidRPr="0034334E">
        <w:tab/>
        <w:t>que el Grupo Asesor de Normalización de las Telecomunicaciones (GANT):</w:t>
      </w:r>
    </w:p>
    <w:p w14:paraId="1B24E41E" w14:textId="4DF62CEC" w:rsidR="00AF67DD" w:rsidRPr="0034334E" w:rsidRDefault="00AF67DD" w:rsidP="00AF67DD">
      <w:pPr>
        <w:pStyle w:val="enumlev1"/>
      </w:pPr>
      <w:r w:rsidRPr="0034334E">
        <w:t>•</w:t>
      </w:r>
      <w:r w:rsidRPr="0034334E">
        <w:tab/>
        <w:t>solicite a los Presidentes de las Comisiones de Estudio que identifiquen cualquier otro uso posible de los EWM que ayuden a impulsar la mayor participación de todas las partes interesadas;</w:t>
      </w:r>
    </w:p>
    <w:p w14:paraId="715005D9" w14:textId="0228A663" w:rsidR="00AF67DD" w:rsidRPr="0034334E" w:rsidRDefault="00AF67DD" w:rsidP="00AF67DD">
      <w:pPr>
        <w:pStyle w:val="enumlev1"/>
      </w:pPr>
      <w:r w:rsidRPr="0034334E">
        <w:t>•</w:t>
      </w:r>
      <w:r w:rsidRPr="0034334E">
        <w:tab/>
        <w:t>identifique, contemplando la experiencia recogida y relevando las opiniones que estime necesarias para el trabajo a futuro, las necesidades de los usuarios en cuanto a mejoras en la interacción simultanean de los EWM y la actividad presencial</w:t>
      </w:r>
      <w:r w:rsidR="003309E0" w:rsidRPr="0034334E">
        <w:t>;</w:t>
      </w:r>
    </w:p>
    <w:p w14:paraId="25FD4374" w14:textId="3C36D0C0" w:rsidR="00AF67DD" w:rsidRPr="0034334E" w:rsidRDefault="00AF67DD" w:rsidP="00AF67DD">
      <w:pPr>
        <w:pStyle w:val="enumlev1"/>
      </w:pPr>
      <w:r w:rsidRPr="0034334E">
        <w:t>•</w:t>
      </w:r>
      <w:r w:rsidRPr="0034334E">
        <w:tab/>
        <w:t>que realice un seguimiento de los resultados de la interacción por la participación tanto física como virtual en el alcance de los objetivos del Sector, mediante presentación de formularios de cumplimiento de la participación y seguimientos realizados,</w:t>
      </w:r>
    </w:p>
    <w:p w14:paraId="00118918" w14:textId="77777777" w:rsidR="00AF67DD" w:rsidRPr="0034334E" w:rsidRDefault="00AF67DD" w:rsidP="00AF67DD">
      <w:pPr>
        <w:pStyle w:val="Call"/>
        <w:rPr>
          <w:b/>
        </w:rPr>
      </w:pPr>
      <w:r w:rsidRPr="0034334E">
        <w:t>invita</w:t>
      </w:r>
    </w:p>
    <w:p w14:paraId="3DF67CF9" w14:textId="32B66197" w:rsidR="00AF67DD" w:rsidRPr="0034334E" w:rsidRDefault="00AF67DD" w:rsidP="00AF67DD">
      <w:r w:rsidRPr="0034334E">
        <w:t>al Consejo de la UIT a que evalúe y recomiende sobre la potencialidad de las herramientas virtuales para favorecer las actividades de la UIT y el cumplimiento de sus objetivos en términos de participación.</w:t>
      </w:r>
    </w:p>
    <w:p w14:paraId="7BBE42A5" w14:textId="77777777" w:rsidR="00AF67DD" w:rsidRPr="0034334E" w:rsidRDefault="00AF67DD" w:rsidP="00411C49">
      <w:pPr>
        <w:pStyle w:val="Reasons"/>
      </w:pPr>
    </w:p>
    <w:p w14:paraId="4D0FC0E2" w14:textId="77777777" w:rsidR="00AF67DD" w:rsidRPr="0034334E" w:rsidRDefault="00AF67DD">
      <w:pPr>
        <w:jc w:val="center"/>
      </w:pPr>
      <w:r w:rsidRPr="0034334E">
        <w:t>______________</w:t>
      </w:r>
    </w:p>
    <w:sectPr w:rsidR="00AF67DD" w:rsidRPr="0034334E">
      <w:headerReference w:type="default" r:id="rId11"/>
      <w:footerReference w:type="even" r:id="rId12"/>
      <w:footerReference w:type="default" r:id="rId13"/>
      <w:footerReference w:type="first" r:id="rId14"/>
      <w:pgSz w:w="11907" w:h="16840" w:code="9"/>
      <w:pgMar w:top="1418" w:right="1134" w:bottom="1418" w:left="1134"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944252" w14:textId="77777777" w:rsidR="00FC241D" w:rsidRDefault="00FC241D">
      <w:r>
        <w:separator/>
      </w:r>
    </w:p>
  </w:endnote>
  <w:endnote w:type="continuationSeparator" w:id="0">
    <w:p w14:paraId="3E7E1379" w14:textId="77777777" w:rsidR="00FC241D" w:rsidRDefault="00FC24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Times New Roman Bold">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99FEF" w14:textId="77777777" w:rsidR="0077084A" w:rsidRDefault="0077084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8E94D13" w14:textId="4AEB175B" w:rsidR="0077084A" w:rsidRPr="006E0078" w:rsidRDefault="0077084A">
    <w:pPr>
      <w:ind w:right="360"/>
      <w:rPr>
        <w:lang w:val="fr-CH"/>
      </w:rPr>
    </w:pPr>
    <w:r>
      <w:fldChar w:fldCharType="begin"/>
    </w:r>
    <w:r w:rsidRPr="006E0078">
      <w:rPr>
        <w:lang w:val="fr-CH"/>
      </w:rPr>
      <w:instrText xml:space="preserve"> FILENAME \p  \* MERGEFORMAT </w:instrText>
    </w:r>
    <w:r>
      <w:fldChar w:fldCharType="separate"/>
    </w:r>
    <w:r w:rsidR="00886CB1">
      <w:rPr>
        <w:noProof/>
        <w:lang w:val="fr-CH"/>
      </w:rPr>
      <w:t>P:\ESP\ITU-T\CONF-T\WTSA20\000\039ADD32V2S.docx</w:t>
    </w:r>
    <w:r>
      <w:fldChar w:fldCharType="end"/>
    </w:r>
    <w:r w:rsidRPr="006E0078">
      <w:rPr>
        <w:lang w:val="fr-CH"/>
      </w:rPr>
      <w:tab/>
    </w:r>
    <w:r>
      <w:fldChar w:fldCharType="begin"/>
    </w:r>
    <w:r>
      <w:instrText xml:space="preserve"> SAVEDATE \@ DD.MM.YY </w:instrText>
    </w:r>
    <w:r>
      <w:fldChar w:fldCharType="separate"/>
    </w:r>
    <w:r w:rsidR="00886CB1">
      <w:rPr>
        <w:noProof/>
      </w:rPr>
      <w:t>28.10.21</w:t>
    </w:r>
    <w:r>
      <w:fldChar w:fldCharType="end"/>
    </w:r>
    <w:r w:rsidRPr="006E0078">
      <w:rPr>
        <w:lang w:val="fr-CH"/>
      </w:rPr>
      <w:tab/>
    </w:r>
    <w:r>
      <w:fldChar w:fldCharType="begin"/>
    </w:r>
    <w:r>
      <w:instrText xml:space="preserve"> PRINTDATE \@ DD.MM.YY </w:instrText>
    </w:r>
    <w:r>
      <w:fldChar w:fldCharType="separate"/>
    </w:r>
    <w:r w:rsidR="00886CB1">
      <w:rPr>
        <w:noProof/>
      </w:rPr>
      <w:t>28.10.21</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29196" w14:textId="6E1400BB" w:rsidR="00AF67DD" w:rsidRPr="0034334E" w:rsidRDefault="0077084A" w:rsidP="00FC3528">
    <w:pPr>
      <w:pStyle w:val="Footer"/>
      <w:ind w:right="360"/>
      <w:rPr>
        <w:lang w:val="fr-BE"/>
      </w:rPr>
    </w:pPr>
    <w:r>
      <w:fldChar w:fldCharType="begin"/>
    </w:r>
    <w:r w:rsidRPr="0034334E">
      <w:rPr>
        <w:lang w:val="fr-BE"/>
      </w:rPr>
      <w:instrText xml:space="preserve"> FILENAME \p  \* MERGEFORMAT </w:instrText>
    </w:r>
    <w:r>
      <w:fldChar w:fldCharType="separate"/>
    </w:r>
    <w:r w:rsidR="00886CB1">
      <w:rPr>
        <w:lang w:val="fr-BE"/>
      </w:rPr>
      <w:t>P:\ESP\ITU-T\CONF-T\WTSA20\000\039ADD32V2S.docx</w:t>
    </w:r>
    <w:r>
      <w:fldChar w:fldCharType="end"/>
    </w:r>
    <w:r w:rsidR="0034334E" w:rsidRPr="0034334E">
      <w:rPr>
        <w:lang w:val="fr-BE"/>
      </w:rPr>
      <w:t xml:space="preserve"> </w:t>
    </w:r>
    <w:r w:rsidR="0034334E">
      <w:rPr>
        <w:lang w:val="fr-BE"/>
      </w:rPr>
      <w:t>(496403)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68015A" w14:textId="42129891" w:rsidR="0034334E" w:rsidRPr="0034334E" w:rsidRDefault="0034334E" w:rsidP="0034334E">
    <w:pPr>
      <w:pStyle w:val="Footer"/>
      <w:ind w:right="360"/>
      <w:rPr>
        <w:lang w:val="fr-BE"/>
      </w:rPr>
    </w:pPr>
    <w:r>
      <w:fldChar w:fldCharType="begin"/>
    </w:r>
    <w:r w:rsidRPr="0034334E">
      <w:rPr>
        <w:lang w:val="fr-BE"/>
      </w:rPr>
      <w:instrText xml:space="preserve"> FILENAME \p  \* MERGEFORMAT </w:instrText>
    </w:r>
    <w:r>
      <w:fldChar w:fldCharType="separate"/>
    </w:r>
    <w:r w:rsidR="00886CB1">
      <w:rPr>
        <w:lang w:val="fr-BE"/>
      </w:rPr>
      <w:t>P:\ESP\ITU-T\CONF-T\WTSA20\000\039ADD32V2S.docx</w:t>
    </w:r>
    <w:r>
      <w:fldChar w:fldCharType="end"/>
    </w:r>
    <w:r w:rsidRPr="0034334E">
      <w:rPr>
        <w:lang w:val="fr-BE"/>
      </w:rPr>
      <w:t xml:space="preserve"> </w:t>
    </w:r>
    <w:r>
      <w:rPr>
        <w:lang w:val="fr-BE"/>
      </w:rPr>
      <w:t>(496403)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51A808" w14:textId="77777777" w:rsidR="00FC241D" w:rsidRDefault="00FC241D">
      <w:r>
        <w:rPr>
          <w:b/>
        </w:rPr>
        <w:t>_______________</w:t>
      </w:r>
    </w:p>
  </w:footnote>
  <w:footnote w:type="continuationSeparator" w:id="0">
    <w:p w14:paraId="72E92F4F" w14:textId="77777777" w:rsidR="00FC241D" w:rsidRDefault="00FC241D">
      <w:r>
        <w:continuationSeparator/>
      </w:r>
    </w:p>
  </w:footnote>
  <w:footnote w:id="1">
    <w:p w14:paraId="2551F1F5" w14:textId="7FB09663" w:rsidR="00AF67DD" w:rsidRPr="00AF67DD" w:rsidRDefault="00AF67DD">
      <w:pPr>
        <w:pStyle w:val="FootnoteText"/>
        <w:rPr>
          <w:lang w:val="es-ES"/>
        </w:rPr>
      </w:pPr>
      <w:r>
        <w:rPr>
          <w:rStyle w:val="FootnoteReference"/>
        </w:rPr>
        <w:t>1</w:t>
      </w:r>
      <w:r>
        <w:tab/>
      </w:r>
      <w:r w:rsidRPr="00AF67DD">
        <w:t>Este término comprende los países menos adelantados, los pequeños Estados insulares en desarrollo, los países en desarrollo sin litoral y los países con economías en transición.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0B19F" w14:textId="2D7955A4" w:rsidR="00E83D45" w:rsidRDefault="00E83D45" w:rsidP="00E83D45">
    <w:pPr>
      <w:pStyle w:val="Header"/>
    </w:pPr>
    <w:r>
      <w:fldChar w:fldCharType="begin"/>
    </w:r>
    <w:r>
      <w:instrText xml:space="preserve"> PAGE  \* MERGEFORMAT </w:instrText>
    </w:r>
    <w:r>
      <w:fldChar w:fldCharType="separate"/>
    </w:r>
    <w:r w:rsidR="00422A3C">
      <w:rPr>
        <w:noProof/>
      </w:rPr>
      <w:t>3</w:t>
    </w:r>
    <w:r>
      <w:fldChar w:fldCharType="end"/>
    </w:r>
  </w:p>
  <w:p w14:paraId="386B1CC5" w14:textId="2F436DE9" w:rsidR="00E83D45" w:rsidRPr="00C72D5C" w:rsidRDefault="002E5627" w:rsidP="00E83D45">
    <w:pPr>
      <w:pStyle w:val="Header"/>
    </w:pPr>
    <w:r>
      <w:fldChar w:fldCharType="begin"/>
    </w:r>
    <w:r>
      <w:instrText xml:space="preserve"> styleref DocNumber </w:instrText>
    </w:r>
    <w:r>
      <w:fldChar w:fldCharType="separate"/>
    </w:r>
    <w:r w:rsidR="003114A3">
      <w:rPr>
        <w:noProof/>
      </w:rPr>
      <w:t>Addéndum 32 al</w:t>
    </w:r>
    <w:r w:rsidR="003114A3">
      <w:rPr>
        <w:noProof/>
      </w:rPr>
      <w:br/>
      <w:t>Documento 39-S</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1CA340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1FC519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A8C96E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09618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47C43E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82EFAB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0AE6C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BE8B4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438658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EEC469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22596173"/>
    <w:multiLevelType w:val="hybridMultilevel"/>
    <w:tmpl w:val="670EE3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7E829B0"/>
    <w:multiLevelType w:val="hybridMultilevel"/>
    <w:tmpl w:val="061A4C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11"/>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isplayBackgroundShape/>
  <w:printFractionalCharacterWidth/>
  <w:activeWritingStyle w:appName="MSWord" w:lang="es-ES_tradnl" w:vendorID="64" w:dllVersion="6" w:nlCheck="1" w:checkStyle="0"/>
  <w:activeWritingStyle w:appName="MSWord" w:lang="en-GB" w:vendorID="64" w:dllVersion="6" w:nlCheck="1" w:checkStyle="1"/>
  <w:activeWritingStyle w:appName="MSWord" w:lang="en-US" w:vendorID="64" w:dllVersion="6" w:nlCheck="1" w:checkStyle="1"/>
  <w:activeWritingStyle w:appName="MSWord" w:lang="es-ES" w:vendorID="64" w:dllVersion="6" w:nlCheck="1" w:checkStyle="0"/>
  <w:activeWritingStyle w:appName="MSWord" w:lang="es-419" w:vendorID="64" w:dllVersion="6" w:nlCheck="1" w:checkStyle="0"/>
  <w:activeWritingStyle w:appName="MSWord" w:lang="fr-CH" w:vendorID="64" w:dllVersion="6" w:nlCheck="1" w:checkStyle="0"/>
  <w:activeWritingStyle w:appName="MSWord" w:lang="es-ES_tradnl" w:vendorID="64" w:dllVersion="0" w:nlCheck="1" w:checkStyle="0"/>
  <w:activeWritingStyle w:appName="MSWord" w:lang="en-GB" w:vendorID="64" w:dllVersion="0" w:nlCheck="1" w:checkStyle="0"/>
  <w:activeWritingStyle w:appName="MSWord" w:lang="en-US" w:vendorID="64" w:dllVersion="0" w:nlCheck="1" w:checkStyle="0"/>
  <w:activeWritingStyle w:appName="MSWord" w:lang="es-ES" w:vendorID="64" w:dllVersion="0" w:nlCheck="1" w:checkStyle="0"/>
  <w:activeWritingStyle w:appName="MSWord" w:lang="es-419" w:vendorID="64" w:dllVersion="0" w:nlCheck="1" w:checkStyle="0"/>
  <w:activeWritingStyle w:appName="MSWord" w:lang="fr-CH" w:vendorID="64" w:dllVersion="0" w:nlCheck="1" w:checkStyle="0"/>
  <w:activeWritingStyle w:appName="MSWord" w:lang="fr-BE"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017B"/>
    <w:rsid w:val="000121A4"/>
    <w:rsid w:val="00023137"/>
    <w:rsid w:val="0002785D"/>
    <w:rsid w:val="00057296"/>
    <w:rsid w:val="00087AE8"/>
    <w:rsid w:val="000A5B9A"/>
    <w:rsid w:val="000C7758"/>
    <w:rsid w:val="000D1574"/>
    <w:rsid w:val="000D5E50"/>
    <w:rsid w:val="000E5BF9"/>
    <w:rsid w:val="000E5EE9"/>
    <w:rsid w:val="000F0E6D"/>
    <w:rsid w:val="00120191"/>
    <w:rsid w:val="00121170"/>
    <w:rsid w:val="00123CC5"/>
    <w:rsid w:val="001463A8"/>
    <w:rsid w:val="0015142D"/>
    <w:rsid w:val="001616DC"/>
    <w:rsid w:val="00163962"/>
    <w:rsid w:val="00191A97"/>
    <w:rsid w:val="001A083F"/>
    <w:rsid w:val="001C41FA"/>
    <w:rsid w:val="001D380F"/>
    <w:rsid w:val="001D440E"/>
    <w:rsid w:val="001E2B52"/>
    <w:rsid w:val="001E3F27"/>
    <w:rsid w:val="001F20F0"/>
    <w:rsid w:val="0021371A"/>
    <w:rsid w:val="002337D9"/>
    <w:rsid w:val="00236D2A"/>
    <w:rsid w:val="00255F12"/>
    <w:rsid w:val="00262C09"/>
    <w:rsid w:val="00263815"/>
    <w:rsid w:val="0028017B"/>
    <w:rsid w:val="00286495"/>
    <w:rsid w:val="002A791F"/>
    <w:rsid w:val="002C1B26"/>
    <w:rsid w:val="002C79B8"/>
    <w:rsid w:val="002E510A"/>
    <w:rsid w:val="002E5627"/>
    <w:rsid w:val="002E701F"/>
    <w:rsid w:val="00305FD9"/>
    <w:rsid w:val="003114A3"/>
    <w:rsid w:val="003237B0"/>
    <w:rsid w:val="003248A9"/>
    <w:rsid w:val="00324FFA"/>
    <w:rsid w:val="0032680B"/>
    <w:rsid w:val="003309E0"/>
    <w:rsid w:val="0034334E"/>
    <w:rsid w:val="00363A65"/>
    <w:rsid w:val="00377EC9"/>
    <w:rsid w:val="003B1E8C"/>
    <w:rsid w:val="003C2508"/>
    <w:rsid w:val="003D0AA3"/>
    <w:rsid w:val="004104AC"/>
    <w:rsid w:val="00422A3C"/>
    <w:rsid w:val="00454553"/>
    <w:rsid w:val="00476FB2"/>
    <w:rsid w:val="004B124A"/>
    <w:rsid w:val="004B520A"/>
    <w:rsid w:val="004C3636"/>
    <w:rsid w:val="004C3A5A"/>
    <w:rsid w:val="00507C36"/>
    <w:rsid w:val="0051705A"/>
    <w:rsid w:val="00523269"/>
    <w:rsid w:val="00532097"/>
    <w:rsid w:val="00566BEE"/>
    <w:rsid w:val="0058350F"/>
    <w:rsid w:val="005A374D"/>
    <w:rsid w:val="005C475F"/>
    <w:rsid w:val="005E72B5"/>
    <w:rsid w:val="005E782D"/>
    <w:rsid w:val="005F2605"/>
    <w:rsid w:val="00646147"/>
    <w:rsid w:val="00662039"/>
    <w:rsid w:val="00662BA0"/>
    <w:rsid w:val="00681766"/>
    <w:rsid w:val="00692AAE"/>
    <w:rsid w:val="006B0F54"/>
    <w:rsid w:val="006D6E67"/>
    <w:rsid w:val="006E0078"/>
    <w:rsid w:val="006E1A13"/>
    <w:rsid w:val="006E76B9"/>
    <w:rsid w:val="00701C20"/>
    <w:rsid w:val="00702F3D"/>
    <w:rsid w:val="0070518E"/>
    <w:rsid w:val="00734034"/>
    <w:rsid w:val="007354E9"/>
    <w:rsid w:val="00757058"/>
    <w:rsid w:val="00765578"/>
    <w:rsid w:val="0077084A"/>
    <w:rsid w:val="00776E3D"/>
    <w:rsid w:val="00786250"/>
    <w:rsid w:val="00790506"/>
    <w:rsid w:val="007952C7"/>
    <w:rsid w:val="007C2317"/>
    <w:rsid w:val="007C39FA"/>
    <w:rsid w:val="007D330A"/>
    <w:rsid w:val="007E5A28"/>
    <w:rsid w:val="007E667F"/>
    <w:rsid w:val="00866AE6"/>
    <w:rsid w:val="00866BBD"/>
    <w:rsid w:val="00873B75"/>
    <w:rsid w:val="008750A8"/>
    <w:rsid w:val="00886CB1"/>
    <w:rsid w:val="00894DCB"/>
    <w:rsid w:val="008E35DA"/>
    <w:rsid w:val="008E4453"/>
    <w:rsid w:val="0090121B"/>
    <w:rsid w:val="009144C9"/>
    <w:rsid w:val="00916196"/>
    <w:rsid w:val="0094091F"/>
    <w:rsid w:val="0094505C"/>
    <w:rsid w:val="00973754"/>
    <w:rsid w:val="0097673E"/>
    <w:rsid w:val="00990278"/>
    <w:rsid w:val="009A137D"/>
    <w:rsid w:val="009B0563"/>
    <w:rsid w:val="009C0BED"/>
    <w:rsid w:val="009E11EC"/>
    <w:rsid w:val="009F6A67"/>
    <w:rsid w:val="00A118DB"/>
    <w:rsid w:val="00A24AC0"/>
    <w:rsid w:val="00A4450C"/>
    <w:rsid w:val="00A55F2D"/>
    <w:rsid w:val="00AA1D6C"/>
    <w:rsid w:val="00AA5E6C"/>
    <w:rsid w:val="00AB4E90"/>
    <w:rsid w:val="00AD056A"/>
    <w:rsid w:val="00AE5677"/>
    <w:rsid w:val="00AE658F"/>
    <w:rsid w:val="00AF2F78"/>
    <w:rsid w:val="00AF4C8D"/>
    <w:rsid w:val="00AF67DD"/>
    <w:rsid w:val="00B07178"/>
    <w:rsid w:val="00B1727C"/>
    <w:rsid w:val="00B173B3"/>
    <w:rsid w:val="00B257B2"/>
    <w:rsid w:val="00B51263"/>
    <w:rsid w:val="00B52D55"/>
    <w:rsid w:val="00B61807"/>
    <w:rsid w:val="00B627DD"/>
    <w:rsid w:val="00B75455"/>
    <w:rsid w:val="00B7791A"/>
    <w:rsid w:val="00B8288C"/>
    <w:rsid w:val="00B9677E"/>
    <w:rsid w:val="00BD5FE4"/>
    <w:rsid w:val="00BE2E80"/>
    <w:rsid w:val="00BE5EDD"/>
    <w:rsid w:val="00BE6A1F"/>
    <w:rsid w:val="00C126C4"/>
    <w:rsid w:val="00C131CB"/>
    <w:rsid w:val="00C16FE2"/>
    <w:rsid w:val="00C25B5B"/>
    <w:rsid w:val="00C614DC"/>
    <w:rsid w:val="00C63EB5"/>
    <w:rsid w:val="00C72410"/>
    <w:rsid w:val="00C858D0"/>
    <w:rsid w:val="00CA1F40"/>
    <w:rsid w:val="00CB35C9"/>
    <w:rsid w:val="00CC01E0"/>
    <w:rsid w:val="00CD1851"/>
    <w:rsid w:val="00CD5FEE"/>
    <w:rsid w:val="00CD663E"/>
    <w:rsid w:val="00CE60D2"/>
    <w:rsid w:val="00D0288A"/>
    <w:rsid w:val="00D56781"/>
    <w:rsid w:val="00D72A5D"/>
    <w:rsid w:val="00DC629B"/>
    <w:rsid w:val="00E05BFF"/>
    <w:rsid w:val="00E13475"/>
    <w:rsid w:val="00E21778"/>
    <w:rsid w:val="00E262F1"/>
    <w:rsid w:val="00E32BEE"/>
    <w:rsid w:val="00E47B44"/>
    <w:rsid w:val="00E71D14"/>
    <w:rsid w:val="00E8097C"/>
    <w:rsid w:val="00E83D45"/>
    <w:rsid w:val="00E91D30"/>
    <w:rsid w:val="00E94A4A"/>
    <w:rsid w:val="00ED3838"/>
    <w:rsid w:val="00EE1779"/>
    <w:rsid w:val="00EF0D6D"/>
    <w:rsid w:val="00F0220A"/>
    <w:rsid w:val="00F02C63"/>
    <w:rsid w:val="00F247BB"/>
    <w:rsid w:val="00F26F4E"/>
    <w:rsid w:val="00F54E0E"/>
    <w:rsid w:val="00F606A0"/>
    <w:rsid w:val="00F62AB3"/>
    <w:rsid w:val="00F63177"/>
    <w:rsid w:val="00F66597"/>
    <w:rsid w:val="00F7212F"/>
    <w:rsid w:val="00F8150C"/>
    <w:rsid w:val="00FC241D"/>
    <w:rsid w:val="00FC3528"/>
    <w:rsid w:val="00FD2596"/>
    <w:rsid w:val="00FD5B74"/>
    <w:rsid w:val="00FD5C8C"/>
    <w:rsid w:val="00FE161E"/>
    <w:rsid w:val="00FE20EC"/>
    <w:rsid w:val="00FE4574"/>
    <w:rsid w:val="00FF0475"/>
    <w:rsid w:val="00FF408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1D434F31"/>
  <w15:docId w15:val="{304D50CB-01AA-45EF-BBE4-6680C5239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A1D6C"/>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
    <w:name w:val="Annex_No"/>
    <w:basedOn w:val="Normal"/>
    <w:next w:val="Annexref"/>
    <w:pPr>
      <w:keepNext/>
      <w:keepLines/>
      <w:spacing w:before="480" w:after="80"/>
      <w:jc w:val="center"/>
    </w:pPr>
    <w:rPr>
      <w:caps/>
      <w:sz w:val="28"/>
    </w:rPr>
  </w:style>
  <w:style w:type="paragraph" w:customStyle="1" w:styleId="Annexref">
    <w:name w:val="Annex_ref"/>
    <w:basedOn w:val="Normal"/>
    <w:next w:val="Annextitle"/>
    <w:pPr>
      <w:keepNext/>
      <w:keepLines/>
      <w:spacing w:after="280"/>
      <w:jc w:val="center"/>
    </w:pPr>
  </w:style>
  <w:style w:type="paragraph" w:customStyle="1" w:styleId="Annextitle">
    <w:name w:val="Annex_title"/>
    <w:basedOn w:val="Normal"/>
    <w:next w:val="Normalaftertitl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style>
  <w:style w:type="paragraph" w:customStyle="1" w:styleId="Appendixref">
    <w:name w:val="Appendix_ref"/>
    <w:basedOn w:val="Annexref"/>
    <w:next w:val="Annextitle"/>
  </w:style>
  <w:style w:type="paragraph" w:customStyle="1" w:styleId="Appendixtitle">
    <w:name w:val="Appendix_title"/>
    <w:basedOn w:val="Annextitle"/>
    <w:next w:val="Normalaftertitle"/>
  </w:style>
  <w:style w:type="paragraph" w:customStyle="1" w:styleId="Call">
    <w:name w:val="Call"/>
    <w:basedOn w:val="Normal"/>
    <w:next w:val="Normal"/>
    <w:rsid w:val="00894DCB"/>
    <w:pPr>
      <w:keepNext/>
      <w:keepLines/>
      <w:spacing w:before="160"/>
      <w:ind w:left="794"/>
    </w:pPr>
    <w:rPr>
      <w:i/>
    </w:rPr>
  </w:style>
  <w:style w:type="paragraph" w:customStyle="1" w:styleId="ChapNo">
    <w:name w:val="Chap_No"/>
    <w:basedOn w:val="Normal"/>
    <w:next w:val="Chaptitle"/>
    <w:rsid w:val="00B75455"/>
    <w:pPr>
      <w:keepNext/>
      <w:keepLines/>
      <w:spacing w:before="480"/>
      <w:jc w:val="center"/>
    </w:pPr>
    <w:rPr>
      <w:rFonts w:ascii="Times New Roman Bold" w:hAnsi="Times New Roman Bold"/>
      <w:b/>
      <w:caps/>
      <w:sz w:val="28"/>
    </w:rPr>
  </w:style>
  <w:style w:type="paragraph" w:customStyle="1" w:styleId="Chaptitle">
    <w:name w:val="Chap_title"/>
    <w:basedOn w:val="Normal"/>
    <w:next w:val="Normalaftertitle"/>
    <w:rsid w:val="00B75455"/>
    <w:pPr>
      <w:keepNext/>
      <w:keepLines/>
      <w:spacing w:before="240"/>
      <w:jc w:val="center"/>
    </w:pPr>
    <w:rPr>
      <w:b/>
      <w:sz w:val="28"/>
    </w:rPr>
  </w:style>
  <w:style w:type="character" w:styleId="EndnoteReference">
    <w:name w:val="endnote reference"/>
    <w:basedOn w:val="DefaultParagraphFont"/>
    <w:semiHidden/>
    <w:rPr>
      <w:vertAlign w:val="superscript"/>
    </w:rPr>
  </w:style>
  <w:style w:type="paragraph" w:customStyle="1" w:styleId="enumlev1">
    <w:name w:val="enumlev1"/>
    <w:basedOn w:val="Normal"/>
    <w:link w:val="enumlev1Char"/>
    <w:rsid w:val="00894DCB"/>
    <w:pPr>
      <w:tabs>
        <w:tab w:val="left" w:pos="2608"/>
        <w:tab w:val="left" w:pos="3345"/>
      </w:tabs>
      <w:spacing w:before="80"/>
      <w:ind w:left="794" w:hanging="794"/>
    </w:pPr>
  </w:style>
  <w:style w:type="paragraph" w:customStyle="1" w:styleId="enumlev2">
    <w:name w:val="enumlev2"/>
    <w:basedOn w:val="enumlev1"/>
    <w:rsid w:val="00894DCB"/>
    <w:pPr>
      <w:ind w:left="1191" w:hanging="397"/>
    </w:pPr>
  </w:style>
  <w:style w:type="paragraph" w:customStyle="1" w:styleId="enumlev3">
    <w:name w:val="enumlev3"/>
    <w:basedOn w:val="enumlev2"/>
    <w:rsid w:val="00894DCB"/>
    <w:pPr>
      <w:ind w:left="1588"/>
    </w:pPr>
  </w:style>
  <w:style w:type="paragraph" w:customStyle="1" w:styleId="Equation">
    <w:name w:val="Equation"/>
    <w:basedOn w:val="Normal"/>
    <w:pPr>
      <w:tabs>
        <w:tab w:val="center" w:pos="4820"/>
        <w:tab w:val="right" w:pos="9639"/>
      </w:tabs>
    </w:pPr>
  </w:style>
  <w:style w:type="paragraph" w:styleId="NormalIndent">
    <w:name w:val="Normal Indent"/>
    <w:basedOn w:val="Normal"/>
    <w:pPr>
      <w:ind w:left="1134"/>
    </w:pPr>
  </w:style>
  <w:style w:type="paragraph" w:customStyle="1" w:styleId="Equationlegend">
    <w:name w:val="Equation_legend"/>
    <w:basedOn w:val="NormalIndent"/>
    <w:pPr>
      <w:tabs>
        <w:tab w:val="right" w:pos="1871"/>
        <w:tab w:val="left" w:pos="2041"/>
      </w:tabs>
      <w:spacing w:before="80"/>
      <w:ind w:left="2041" w:hanging="2041"/>
    </w:pPr>
  </w:style>
  <w:style w:type="paragraph" w:customStyle="1" w:styleId="Figurelegend">
    <w:name w:val="Figure_legend"/>
    <w:basedOn w:val="Normal"/>
    <w:pPr>
      <w:keepNext/>
      <w:keepLines/>
      <w:spacing w:before="20" w:after="20"/>
    </w:pPr>
    <w:rPr>
      <w:sz w:val="18"/>
    </w:rPr>
  </w:style>
  <w:style w:type="paragraph" w:customStyle="1" w:styleId="FigureNo">
    <w:name w:val="Figure_No"/>
    <w:basedOn w:val="Normal"/>
    <w:next w:val="Figuretitle"/>
    <w:rsid w:val="00916196"/>
    <w:pPr>
      <w:keepNext/>
      <w:keepLines/>
      <w:spacing w:before="480" w:after="120"/>
      <w:jc w:val="center"/>
    </w:pPr>
    <w:rPr>
      <w:caps/>
    </w:rPr>
  </w:style>
  <w:style w:type="paragraph" w:customStyle="1" w:styleId="Figuretitle">
    <w:name w:val="Figure_title"/>
    <w:basedOn w:val="Normal"/>
    <w:next w:val="Normal"/>
    <w:rsid w:val="00B627DD"/>
    <w:pPr>
      <w:spacing w:after="480"/>
      <w:jc w:val="center"/>
    </w:pPr>
    <w:rPr>
      <w:b/>
    </w:rPr>
  </w:style>
  <w:style w:type="paragraph" w:customStyle="1" w:styleId="Figurewithouttitle">
    <w:name w:val="Figure_without_title"/>
    <w:basedOn w:val="FigureNo"/>
    <w:next w:val="Normal"/>
    <w:pPr>
      <w:keepNext w:val="0"/>
    </w:pPr>
  </w:style>
  <w:style w:type="paragraph" w:styleId="Footer">
    <w:name w:val="footer"/>
    <w:basedOn w:val="Normal"/>
    <w:link w:val="FooterChar"/>
    <w:pPr>
      <w:tabs>
        <w:tab w:val="left" w:pos="5954"/>
        <w:tab w:val="right" w:pos="9639"/>
      </w:tabs>
      <w:spacing w:before="0"/>
    </w:pPr>
    <w:rPr>
      <w:caps/>
      <w:noProof/>
      <w:sz w:val="16"/>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rPr>
      <w:position w:val="6"/>
      <w:sz w:val="18"/>
    </w:rPr>
  </w:style>
  <w:style w:type="paragraph" w:styleId="FootnoteText">
    <w:name w:val="footnote text"/>
    <w:basedOn w:val="Normal"/>
    <w:pPr>
      <w:keepLines/>
      <w:tabs>
        <w:tab w:val="left" w:pos="255"/>
      </w:tabs>
    </w:pPr>
  </w:style>
  <w:style w:type="paragraph" w:styleId="Header">
    <w:name w:val="header"/>
    <w:basedOn w:val="Normal"/>
    <w:link w:val="HeaderChar"/>
    <w:pPr>
      <w:spacing w:before="0"/>
      <w:jc w:val="center"/>
    </w:pPr>
    <w:rPr>
      <w:sz w:val="18"/>
    </w:rPr>
  </w:style>
  <w:style w:type="paragraph" w:customStyle="1" w:styleId="Headingb">
    <w:name w:val="Heading_b"/>
    <w:basedOn w:val="Normal"/>
    <w:next w:val="Normal"/>
    <w:rsid w:val="00C858D0"/>
    <w:pPr>
      <w:keepNext/>
      <w:spacing w:before="160"/>
    </w:pPr>
    <w:rPr>
      <w:rFonts w:ascii="Times" w:hAnsi="Times"/>
      <w:b/>
    </w:rPr>
  </w:style>
  <w:style w:type="paragraph" w:customStyle="1" w:styleId="Headingi">
    <w:name w:val="Heading_i"/>
    <w:basedOn w:val="Normal"/>
    <w:next w:val="Normal"/>
    <w:pPr>
      <w:keepNext/>
      <w:spacing w:before="160"/>
    </w:pPr>
    <w:rPr>
      <w:rFonts w:ascii="Times" w:hAnsi="Times"/>
      <w:i/>
    </w:rPr>
  </w:style>
  <w:style w:type="paragraph" w:customStyle="1" w:styleId="Normalaftertitle">
    <w:name w:val="Normal after title"/>
    <w:basedOn w:val="Normal"/>
    <w:next w:val="Normal"/>
    <w:pPr>
      <w:spacing w:before="280"/>
    </w:pPr>
  </w:style>
  <w:style w:type="paragraph" w:customStyle="1" w:styleId="Note">
    <w:name w:val="Note"/>
    <w:basedOn w:val="Normal"/>
    <w:pPr>
      <w:tabs>
        <w:tab w:val="left" w:pos="284"/>
      </w:tabs>
      <w:spacing w:before="80"/>
    </w:pPr>
  </w:style>
  <w:style w:type="paragraph" w:customStyle="1" w:styleId="PartNo">
    <w:name w:val="Part_No"/>
    <w:basedOn w:val="AnnexNo"/>
    <w:next w:val="Normal"/>
  </w:style>
  <w:style w:type="paragraph" w:customStyle="1" w:styleId="Parttitle">
    <w:name w:val="Part_title"/>
    <w:basedOn w:val="Annextitle"/>
    <w:next w:val="Normalaftertitle"/>
  </w:style>
  <w:style w:type="paragraph" w:customStyle="1" w:styleId="RecNo">
    <w:name w:val="Rec_No"/>
    <w:basedOn w:val="Normal"/>
    <w:next w:val="Rectitle"/>
    <w:rsid w:val="00BD5FE4"/>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BD5FE4"/>
    <w:pPr>
      <w:spacing w:before="240"/>
      <w:jc w:val="center"/>
    </w:pPr>
    <w:rPr>
      <w:bCs/>
    </w:rPr>
  </w:style>
  <w:style w:type="paragraph" w:customStyle="1" w:styleId="Recref">
    <w:name w:val="Rec_ref"/>
    <w:basedOn w:val="Rectitle"/>
    <w:next w:val="Recdate"/>
    <w:rsid w:val="00FD5C8C"/>
    <w:pPr>
      <w:spacing w:before="120"/>
    </w:pPr>
    <w:rPr>
      <w:rFonts w:ascii="Times New Roman" w:hAnsi="Times New Roman"/>
      <w:b w:val="0"/>
      <w:i/>
      <w:sz w:val="24"/>
    </w:rPr>
  </w:style>
  <w:style w:type="paragraph" w:customStyle="1" w:styleId="Recdate">
    <w:name w:val="Rec_date"/>
    <w:basedOn w:val="Recref"/>
    <w:next w:val="Normalaftertitle"/>
    <w:rsid w:val="000121A4"/>
  </w:style>
  <w:style w:type="paragraph" w:customStyle="1" w:styleId="Questiondate">
    <w:name w:val="Question_date"/>
    <w:basedOn w:val="Recdate"/>
    <w:next w:val="Normalaftertitle"/>
  </w:style>
  <w:style w:type="paragraph" w:customStyle="1" w:styleId="QuestionNo">
    <w:name w:val="Question_No"/>
    <w:basedOn w:val="ResNo"/>
    <w:next w:val="Questiontitle"/>
  </w:style>
  <w:style w:type="paragraph" w:customStyle="1" w:styleId="Questiontitle">
    <w:name w:val="Question_title"/>
    <w:basedOn w:val="Rectitle"/>
    <w:next w:val="Normal"/>
  </w:style>
  <w:style w:type="paragraph" w:customStyle="1" w:styleId="Resdate">
    <w:name w:val="Res_date"/>
    <w:basedOn w:val="Recdate"/>
    <w:next w:val="Normalaftertitle"/>
  </w:style>
  <w:style w:type="paragraph" w:customStyle="1" w:styleId="ResNo">
    <w:name w:val="Res_No"/>
    <w:basedOn w:val="Normal"/>
    <w:next w:val="Normal"/>
    <w:link w:val="ResNoChar"/>
    <w:rsid w:val="00E8097C"/>
    <w:pPr>
      <w:spacing w:before="480"/>
      <w:jc w:val="center"/>
    </w:pPr>
    <w:rPr>
      <w:caps/>
      <w:sz w:val="28"/>
    </w:rPr>
  </w:style>
  <w:style w:type="paragraph" w:customStyle="1" w:styleId="Resref">
    <w:name w:val="Res_ref"/>
    <w:basedOn w:val="Recref"/>
    <w:next w:val="Resdate"/>
  </w:style>
  <w:style w:type="character" w:customStyle="1" w:styleId="Resdef">
    <w:name w:val="Res_def"/>
    <w:basedOn w:val="DefaultParagraphFont"/>
    <w:rPr>
      <w:rFonts w:ascii="Times New Roman" w:hAnsi="Times New Roman"/>
      <w:b/>
    </w:rPr>
  </w:style>
  <w:style w:type="character" w:styleId="PageNumber">
    <w:name w:val="page number"/>
    <w:basedOn w:val="DefaultParagraphFont"/>
  </w:style>
  <w:style w:type="paragraph" w:customStyle="1" w:styleId="Reasons">
    <w:name w:val="Reasons"/>
    <w:basedOn w:val="Normal"/>
    <w:qFormat/>
  </w:style>
  <w:style w:type="paragraph" w:customStyle="1" w:styleId="Proposal">
    <w:name w:val="Proposal"/>
    <w:basedOn w:val="Normal"/>
    <w:next w:val="Normal"/>
    <w:rsid w:val="00894DCB"/>
    <w:pPr>
      <w:keepNext/>
      <w:tabs>
        <w:tab w:val="clear" w:pos="794"/>
        <w:tab w:val="clear" w:pos="1191"/>
        <w:tab w:val="clear" w:pos="1588"/>
        <w:tab w:val="clear" w:pos="1985"/>
        <w:tab w:val="left" w:pos="1134"/>
      </w:tabs>
      <w:spacing w:before="240"/>
    </w:pPr>
    <w:rPr>
      <w:rFonts w:hAnsi="Times New Roman Bold"/>
      <w:b/>
    </w:rPr>
  </w:style>
  <w:style w:type="paragraph" w:customStyle="1" w:styleId="Figure">
    <w:name w:val="Figure"/>
    <w:basedOn w:val="Normal"/>
    <w:next w:val="Figuretitle"/>
    <w:pPr>
      <w:keepNext/>
      <w:keepLines/>
      <w:jc w:val="center"/>
    </w:pPr>
  </w:style>
  <w:style w:type="paragraph" w:customStyle="1" w:styleId="Agendaitem">
    <w:name w:val="Agenda_item"/>
    <w:basedOn w:val="Normal"/>
    <w:next w:val="Normalaftertitle"/>
    <w:qFormat/>
    <w:rsid w:val="002E701F"/>
    <w:pPr>
      <w:overflowPunct/>
      <w:autoSpaceDE/>
      <w:autoSpaceDN/>
      <w:adjustRightInd/>
      <w:spacing w:before="240"/>
      <w:jc w:val="center"/>
      <w:textAlignment w:val="auto"/>
    </w:pPr>
    <w:rPr>
      <w:sz w:val="28"/>
    </w:rPr>
  </w:style>
  <w:style w:type="paragraph" w:customStyle="1" w:styleId="Part1">
    <w:name w:val="Part_1"/>
    <w:basedOn w:val="Normal"/>
    <w:qFormat/>
    <w:rsid w:val="002E701F"/>
    <w:pPr>
      <w:tabs>
        <w:tab w:val="center" w:pos="4820"/>
      </w:tabs>
      <w:spacing w:before="360"/>
      <w:jc w:val="center"/>
    </w:pPr>
    <w:rPr>
      <w:b/>
    </w:rPr>
  </w:style>
  <w:style w:type="paragraph" w:customStyle="1" w:styleId="Normalend">
    <w:name w:val="Normal_end"/>
    <w:basedOn w:val="Normal"/>
    <w:qFormat/>
    <w:rsid w:val="007C2317"/>
  </w:style>
  <w:style w:type="character" w:customStyle="1" w:styleId="Tablefreq">
    <w:name w:val="Table_freq"/>
    <w:basedOn w:val="DefaultParagraphFont"/>
    <w:rsid w:val="00973754"/>
    <w:rPr>
      <w:b/>
      <w:color w:val="auto"/>
      <w:sz w:val="20"/>
    </w:rPr>
  </w:style>
  <w:style w:type="paragraph" w:customStyle="1" w:styleId="Tabletext">
    <w:name w:val="Table_text"/>
    <w:basedOn w:val="Normal"/>
    <w:rsid w:val="00973754"/>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0"/>
    </w:rPr>
  </w:style>
  <w:style w:type="paragraph" w:customStyle="1" w:styleId="Tablehead">
    <w:name w:val="Table_head"/>
    <w:basedOn w:val="Tabletext"/>
    <w:next w:val="Tabletext"/>
    <w:rsid w:val="00973754"/>
    <w:pPr>
      <w:keepNext/>
      <w:spacing w:before="80" w:after="80"/>
      <w:jc w:val="center"/>
    </w:pPr>
    <w:rPr>
      <w:b/>
    </w:rPr>
  </w:style>
  <w:style w:type="paragraph" w:customStyle="1" w:styleId="Tablelegend">
    <w:name w:val="Table_legend"/>
    <w:basedOn w:val="Tabletext"/>
    <w:rsid w:val="00973754"/>
    <w:pPr>
      <w:tabs>
        <w:tab w:val="clear" w:pos="284"/>
      </w:tabs>
      <w:spacing w:before="120"/>
    </w:pPr>
  </w:style>
  <w:style w:type="paragraph" w:customStyle="1" w:styleId="TableNo">
    <w:name w:val="Table_No"/>
    <w:basedOn w:val="Normal"/>
    <w:next w:val="Normal"/>
    <w:rsid w:val="00973754"/>
    <w:pPr>
      <w:keepNext/>
      <w:spacing w:before="560" w:after="120"/>
      <w:jc w:val="center"/>
    </w:pPr>
    <w:rPr>
      <w:caps/>
      <w:sz w:val="20"/>
    </w:rPr>
  </w:style>
  <w:style w:type="paragraph" w:customStyle="1" w:styleId="Tableref">
    <w:name w:val="Table_ref"/>
    <w:basedOn w:val="Normal"/>
    <w:next w:val="Normal"/>
    <w:rsid w:val="00973754"/>
    <w:pPr>
      <w:keepNext/>
      <w:spacing w:before="560"/>
      <w:jc w:val="center"/>
    </w:pPr>
    <w:rPr>
      <w:sz w:val="20"/>
    </w:rPr>
  </w:style>
  <w:style w:type="paragraph" w:customStyle="1" w:styleId="Tabletitle">
    <w:name w:val="Table_title"/>
    <w:basedOn w:val="Normal"/>
    <w:next w:val="Tabletext"/>
    <w:rsid w:val="00973754"/>
    <w:pPr>
      <w:keepNext/>
      <w:keepLines/>
      <w:spacing w:before="0" w:after="120"/>
      <w:jc w:val="center"/>
    </w:pPr>
    <w:rPr>
      <w:rFonts w:ascii="Times New Roman Bold" w:hAnsi="Times New Roman Bold"/>
      <w:b/>
      <w:sz w:val="20"/>
    </w:rPr>
  </w:style>
  <w:style w:type="paragraph" w:customStyle="1" w:styleId="Section1">
    <w:name w:val="Section_1"/>
    <w:basedOn w:val="Normal"/>
    <w:rsid w:val="004B124A"/>
    <w:pPr>
      <w:tabs>
        <w:tab w:val="center" w:pos="4820"/>
      </w:tabs>
      <w:spacing w:before="360"/>
      <w:jc w:val="center"/>
    </w:pPr>
    <w:rPr>
      <w:b/>
    </w:rPr>
  </w:style>
  <w:style w:type="paragraph" w:customStyle="1" w:styleId="Section2">
    <w:name w:val="Section_2"/>
    <w:basedOn w:val="Section1"/>
    <w:rsid w:val="004B124A"/>
    <w:rPr>
      <w:b w:val="0"/>
      <w:i/>
    </w:rPr>
  </w:style>
  <w:style w:type="paragraph" w:customStyle="1" w:styleId="Section3">
    <w:name w:val="Section_3"/>
    <w:basedOn w:val="Section1"/>
    <w:rsid w:val="004B124A"/>
    <w:rPr>
      <w:b w:val="0"/>
    </w:rPr>
  </w:style>
  <w:style w:type="paragraph" w:customStyle="1" w:styleId="SectionNo">
    <w:name w:val="Section_No"/>
    <w:basedOn w:val="AnnexNo"/>
    <w:next w:val="Normal"/>
    <w:rsid w:val="004B124A"/>
  </w:style>
  <w:style w:type="paragraph" w:customStyle="1" w:styleId="Sectiontitle">
    <w:name w:val="Section_title"/>
    <w:basedOn w:val="Annextitle"/>
    <w:next w:val="Normalaftertitle"/>
    <w:rsid w:val="004B124A"/>
  </w:style>
  <w:style w:type="paragraph" w:customStyle="1" w:styleId="Source">
    <w:name w:val="Source"/>
    <w:basedOn w:val="Normal"/>
    <w:next w:val="Normal"/>
    <w:rsid w:val="004B124A"/>
    <w:pPr>
      <w:spacing w:before="840"/>
      <w:jc w:val="center"/>
    </w:pPr>
    <w:rPr>
      <w:b/>
      <w:sz w:val="28"/>
    </w:rPr>
  </w:style>
  <w:style w:type="paragraph" w:customStyle="1" w:styleId="Title1">
    <w:name w:val="Title 1"/>
    <w:basedOn w:val="Source"/>
    <w:next w:val="Normal"/>
    <w:rsid w:val="00E262F1"/>
    <w:pPr>
      <w:tabs>
        <w:tab w:val="left" w:pos="567"/>
        <w:tab w:val="left" w:pos="1701"/>
        <w:tab w:val="left" w:pos="2835"/>
      </w:tabs>
      <w:spacing w:before="240"/>
    </w:pPr>
    <w:rPr>
      <w:b w:val="0"/>
      <w:caps/>
    </w:rPr>
  </w:style>
  <w:style w:type="paragraph" w:customStyle="1" w:styleId="Title2">
    <w:name w:val="Title 2"/>
    <w:basedOn w:val="Source"/>
    <w:next w:val="Normal"/>
    <w:rsid w:val="00E262F1"/>
    <w:pPr>
      <w:overflowPunct/>
      <w:autoSpaceDE/>
      <w:autoSpaceDN/>
      <w:adjustRightInd/>
      <w:spacing w:before="480"/>
      <w:textAlignment w:val="auto"/>
    </w:pPr>
    <w:rPr>
      <w:b w:val="0"/>
      <w:caps/>
    </w:rPr>
  </w:style>
  <w:style w:type="paragraph" w:customStyle="1" w:styleId="Title3">
    <w:name w:val="Title 3"/>
    <w:basedOn w:val="Title2"/>
    <w:next w:val="Normal"/>
    <w:rsid w:val="00E262F1"/>
    <w:pPr>
      <w:spacing w:before="240"/>
    </w:pPr>
    <w:rPr>
      <w:caps w:val="0"/>
    </w:rPr>
  </w:style>
  <w:style w:type="paragraph" w:customStyle="1" w:styleId="Title4">
    <w:name w:val="Title 4"/>
    <w:basedOn w:val="Title3"/>
    <w:next w:val="Heading1"/>
    <w:rsid w:val="00E262F1"/>
    <w:rPr>
      <w:b/>
    </w:rPr>
  </w:style>
  <w:style w:type="paragraph" w:customStyle="1" w:styleId="toc0">
    <w:name w:val="toc 0"/>
    <w:basedOn w:val="Normal"/>
    <w:next w:val="TOC1"/>
    <w:rsid w:val="00F8150C"/>
    <w:pPr>
      <w:tabs>
        <w:tab w:val="right" w:pos="9781"/>
      </w:tabs>
    </w:pPr>
    <w:rPr>
      <w:b/>
    </w:rPr>
  </w:style>
  <w:style w:type="paragraph" w:styleId="TOC1">
    <w:name w:val="toc 1"/>
    <w:basedOn w:val="Normal"/>
    <w:rsid w:val="00F8150C"/>
    <w:pPr>
      <w:keepLines/>
      <w:tabs>
        <w:tab w:val="left" w:pos="567"/>
        <w:tab w:val="left" w:leader="dot" w:pos="7938"/>
        <w:tab w:val="center" w:pos="9526"/>
      </w:tabs>
      <w:spacing w:before="240"/>
      <w:ind w:left="567" w:hanging="567"/>
    </w:pPr>
  </w:style>
  <w:style w:type="paragraph" w:styleId="TOC2">
    <w:name w:val="toc 2"/>
    <w:basedOn w:val="TOC1"/>
    <w:rsid w:val="00F8150C"/>
    <w:pPr>
      <w:spacing w:before="120"/>
    </w:pPr>
  </w:style>
  <w:style w:type="paragraph" w:styleId="TOC3">
    <w:name w:val="toc 3"/>
    <w:basedOn w:val="TOC2"/>
    <w:rsid w:val="00F8150C"/>
  </w:style>
  <w:style w:type="paragraph" w:styleId="TOC4">
    <w:name w:val="toc 4"/>
    <w:basedOn w:val="TOC3"/>
    <w:rsid w:val="00F8150C"/>
  </w:style>
  <w:style w:type="paragraph" w:styleId="TOC5">
    <w:name w:val="toc 5"/>
    <w:basedOn w:val="TOC4"/>
    <w:rsid w:val="00F8150C"/>
  </w:style>
  <w:style w:type="paragraph" w:styleId="TOC6">
    <w:name w:val="toc 6"/>
    <w:basedOn w:val="TOC4"/>
    <w:rsid w:val="00F8150C"/>
  </w:style>
  <w:style w:type="paragraph" w:styleId="TOC7">
    <w:name w:val="toc 7"/>
    <w:basedOn w:val="TOC4"/>
    <w:rsid w:val="00F8150C"/>
  </w:style>
  <w:style w:type="paragraph" w:styleId="TOC8">
    <w:name w:val="toc 8"/>
    <w:basedOn w:val="TOC4"/>
    <w:rsid w:val="00F8150C"/>
  </w:style>
  <w:style w:type="paragraph" w:customStyle="1" w:styleId="Partref">
    <w:name w:val="Part_ref"/>
    <w:basedOn w:val="Annexref"/>
    <w:next w:val="Parttitle"/>
    <w:rsid w:val="0032680B"/>
  </w:style>
  <w:style w:type="paragraph" w:customStyle="1" w:styleId="Questionref">
    <w:name w:val="Question_ref"/>
    <w:basedOn w:val="Recref"/>
    <w:next w:val="Questiondate"/>
    <w:rsid w:val="006D6E67"/>
  </w:style>
  <w:style w:type="paragraph" w:customStyle="1" w:styleId="Restitle">
    <w:name w:val="Res_title"/>
    <w:basedOn w:val="Rectitle"/>
    <w:next w:val="Resref"/>
    <w:rsid w:val="009E11EC"/>
  </w:style>
  <w:style w:type="paragraph" w:customStyle="1" w:styleId="SpecialFooter">
    <w:name w:val="Special Footer"/>
    <w:basedOn w:val="Footer"/>
    <w:rsid w:val="00262C09"/>
    <w:pPr>
      <w:tabs>
        <w:tab w:val="left" w:pos="567"/>
        <w:tab w:val="left" w:pos="1134"/>
        <w:tab w:val="left" w:pos="1701"/>
        <w:tab w:val="left" w:pos="2268"/>
        <w:tab w:val="left" w:pos="2835"/>
      </w:tabs>
      <w:jc w:val="both"/>
    </w:pPr>
    <w:rPr>
      <w:caps w:val="0"/>
      <w:noProof w:val="0"/>
    </w:rPr>
  </w:style>
  <w:style w:type="paragraph" w:customStyle="1" w:styleId="Volumetitle">
    <w:name w:val="Volume_title"/>
    <w:basedOn w:val="Normal"/>
    <w:qFormat/>
    <w:rsid w:val="00305FD9"/>
    <w:pPr>
      <w:keepNext/>
      <w:keepLines/>
      <w:spacing w:before="480"/>
      <w:jc w:val="center"/>
    </w:pPr>
    <w:rPr>
      <w:b/>
      <w:caps/>
      <w:sz w:val="28"/>
    </w:rPr>
  </w:style>
  <w:style w:type="paragraph" w:customStyle="1" w:styleId="Committee">
    <w:name w:val="Committee"/>
    <w:basedOn w:val="Normal"/>
    <w:qFormat/>
    <w:rsid w:val="00E83D45"/>
    <w:pPr>
      <w:framePr w:hSpace="180" w:wrap="around" w:hAnchor="margin" w:y="-675"/>
      <w:tabs>
        <w:tab w:val="left" w:pos="851"/>
      </w:tabs>
      <w:spacing w:before="0" w:line="240" w:lineRule="atLeast"/>
    </w:pPr>
    <w:rPr>
      <w:rFonts w:ascii="Verdana" w:hAnsi="Verdana" w:cstheme="minorHAnsi"/>
      <w:b/>
      <w:sz w:val="20"/>
      <w:szCs w:val="24"/>
      <w:lang w:val="en-GB"/>
    </w:rPr>
  </w:style>
  <w:style w:type="character" w:customStyle="1" w:styleId="ResNoChar">
    <w:name w:val="Res_No Char"/>
    <w:link w:val="ResNo"/>
    <w:rsid w:val="00E8097C"/>
    <w:rPr>
      <w:rFonts w:ascii="Times New Roman" w:hAnsi="Times New Roman"/>
      <w:caps/>
      <w:sz w:val="28"/>
      <w:lang w:val="es-ES_tradnl" w:eastAsia="en-US"/>
    </w:rPr>
  </w:style>
  <w:style w:type="paragraph" w:customStyle="1" w:styleId="Opinionref">
    <w:name w:val="Opinion_ref"/>
    <w:basedOn w:val="Normal"/>
    <w:next w:val="Normalaftertitle"/>
    <w:qFormat/>
    <w:rsid w:val="00E83D45"/>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E83D45"/>
    <w:rPr>
      <w:lang w:val="en-GB"/>
    </w:rPr>
  </w:style>
  <w:style w:type="paragraph" w:customStyle="1" w:styleId="OpinionNo">
    <w:name w:val="Opinion_No"/>
    <w:basedOn w:val="ResNo"/>
    <w:next w:val="Opiniontitle"/>
    <w:qFormat/>
    <w:rsid w:val="00E83D45"/>
    <w:pPr>
      <w:spacing w:line="280" w:lineRule="exact"/>
    </w:pPr>
  </w:style>
  <w:style w:type="character" w:customStyle="1" w:styleId="HeaderChar">
    <w:name w:val="Header Char"/>
    <w:basedOn w:val="DefaultParagraphFont"/>
    <w:link w:val="Header"/>
    <w:rsid w:val="00E83D45"/>
    <w:rPr>
      <w:rFonts w:ascii="Times New Roman" w:hAnsi="Times New Roman"/>
      <w:sz w:val="18"/>
      <w:lang w:val="es-ES_tradnl" w:eastAsia="en-US"/>
    </w:rPr>
  </w:style>
  <w:style w:type="character" w:customStyle="1" w:styleId="FooterChar">
    <w:name w:val="Footer Char"/>
    <w:basedOn w:val="DefaultParagraphFont"/>
    <w:link w:val="Footer"/>
    <w:rsid w:val="00E83D45"/>
    <w:rPr>
      <w:rFonts w:ascii="Times New Roman" w:hAnsi="Times New Roman"/>
      <w:caps/>
      <w:noProof/>
      <w:sz w:val="16"/>
      <w:lang w:val="es-ES_tradnl" w:eastAsia="en-US"/>
    </w:rPr>
  </w:style>
  <w:style w:type="paragraph" w:customStyle="1" w:styleId="HeadingSummary">
    <w:name w:val="HeadingSummary"/>
    <w:basedOn w:val="Headingb"/>
    <w:qFormat/>
    <w:rsid w:val="00B173B3"/>
    <w:rPr>
      <w:rFonts w:ascii="Times New Roman" w:hAnsi="Times New Roman"/>
    </w:rPr>
  </w:style>
  <w:style w:type="character" w:styleId="PlaceholderText">
    <w:name w:val="Placeholder Text"/>
    <w:basedOn w:val="DefaultParagraphFont"/>
    <w:uiPriority w:val="99"/>
    <w:semiHidden/>
    <w:rsid w:val="006B0F54"/>
    <w:rPr>
      <w:color w:val="808080"/>
    </w:rPr>
  </w:style>
  <w:style w:type="paragraph" w:customStyle="1" w:styleId="DocNumber">
    <w:name w:val="DocNumber"/>
    <w:basedOn w:val="Normal"/>
    <w:rsid w:val="002E5627"/>
    <w:pPr>
      <w:spacing w:before="0"/>
    </w:pPr>
    <w:rPr>
      <w:rFonts w:ascii="Verdana" w:hAnsi="Verdana"/>
      <w:b/>
      <w:sz w:val="20"/>
      <w:lang w:val="en-US"/>
    </w:rPr>
  </w:style>
  <w:style w:type="character" w:styleId="Hyperlink">
    <w:name w:val="Hyperlink"/>
    <w:basedOn w:val="DefaultParagraphFont"/>
    <w:unhideWhenUsed/>
    <w:rPr>
      <w:color w:val="0000FF" w:themeColor="hyperlink"/>
      <w:u w:val="single"/>
    </w:rPr>
  </w:style>
  <w:style w:type="character" w:customStyle="1" w:styleId="enumlev1Char">
    <w:name w:val="enumlev1 Char"/>
    <w:link w:val="enumlev1"/>
    <w:locked/>
    <w:rsid w:val="00AF67DD"/>
    <w:rPr>
      <w:rFonts w:ascii="Times New Roman" w:hAnsi="Times New Roman"/>
      <w:sz w:val="24"/>
      <w:lang w:val="es-ES_trad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a144ee4c-d6a1-4440-9f4d-c6f6a50e482d" targetNamespace="http://schemas.microsoft.com/office/2006/metadata/properties" ma:root="true" ma:fieldsID="d41af5c836d734370eb92e7ee5f83852" ns2:_="" ns3:_="">
    <xsd:import namespace="996b2e75-67fd-4955-a3b0-5ab9934cb50b"/>
    <xsd:import namespace="a144ee4c-d6a1-4440-9f4d-c6f6a50e482d"/>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a144ee4c-d6a1-4440-9f4d-c6f6a50e482d"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a144ee4c-d6a1-4440-9f4d-c6f6a50e482d">DPM</DPM_x0020_Author>
    <DPM_x0020_File_x0020_name xmlns="a144ee4c-d6a1-4440-9f4d-c6f6a50e482d">T17-WTSA.20-C-0039!A32!MSW-S</DPM_x0020_File_x0020_name>
    <DPM_x0020_Version xmlns="a144ee4c-d6a1-4440-9f4d-c6f6a50e482d">DPM_2019.11.13.01</DPM_x0020_Version>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a144ee4c-d6a1-4440-9f4d-c6f6a50e482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schemas.openxmlformats.org/package/2006/metadata/core-properties"/>
    <ds:schemaRef ds:uri="http://schemas.microsoft.com/office/2006/documentManagement/types"/>
    <ds:schemaRef ds:uri="http://www.w3.org/XML/1998/namespace"/>
    <ds:schemaRef ds:uri="http://purl.org/dc/terms/"/>
    <ds:schemaRef ds:uri="http://schemas.microsoft.com/office/2006/metadata/properties"/>
    <ds:schemaRef ds:uri="http://purl.org/dc/elements/1.1/"/>
    <ds:schemaRef ds:uri="a144ee4c-d6a1-4440-9f4d-c6f6a50e482d"/>
    <ds:schemaRef ds:uri="http://schemas.microsoft.com/office/infopath/2007/PartnerControls"/>
    <ds:schemaRef ds:uri="996b2e75-67fd-4955-a3b0-5ab9934cb50b"/>
    <ds:schemaRef ds:uri="http://purl.org/dc/dcmitype/"/>
  </ds:schemaRefs>
</ds:datastoreItem>
</file>

<file path=customXml/itemProps3.xml><?xml version="1.0" encoding="utf-8"?>
<ds:datastoreItem xmlns:ds="http://schemas.openxmlformats.org/officeDocument/2006/customXml" ds:itemID="{669C03C5-2268-4616-9FCE-9BDC71FBF4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4</Pages>
  <Words>1056</Words>
  <Characters>6014</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T17-WTSA.20-C-0039!A32!MSW-S</vt:lpstr>
    </vt:vector>
  </TitlesOfParts>
  <Manager>Secretaría General - Pool</Manager>
  <Company>International Telecommunication Union (ITU)</Company>
  <LinksUpToDate>false</LinksUpToDate>
  <CharactersWithSpaces>7056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T17-WTSA.20-C-0039!A32!MSW-S</dc:title>
  <dc:subject>World Telecommunication Standardization Assembly</dc:subject>
  <dc:creator>Documents Proposals Manager (DPM)</dc:creator>
  <cp:keywords>DPM_v2021.3.2.1_prod</cp:keywords>
  <dc:description>Template used by DPM and CPI for the WTSA-16</dc:description>
  <cp:lastModifiedBy>Spanish</cp:lastModifiedBy>
  <cp:revision>5</cp:revision>
  <cp:lastPrinted>2021-10-28T11:45:00Z</cp:lastPrinted>
  <dcterms:created xsi:type="dcterms:W3CDTF">2021-10-28T11:42:00Z</dcterms:created>
  <dcterms:modified xsi:type="dcterms:W3CDTF">2021-10-28T12:49:00Z</dcterms:modified>
  <cp:category>Documento de conferencia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PS_WRC07.dot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