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65F8670" w14:textId="77777777" w:rsidTr="0018460D">
        <w:trPr>
          <w:cantSplit/>
        </w:trPr>
        <w:tc>
          <w:tcPr>
            <w:tcW w:w="6614" w:type="dxa"/>
            <w:vAlign w:val="center"/>
            <w:hideMark/>
          </w:tcPr>
          <w:p w14:paraId="01DD0E3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8780F82"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0F79D6F" w14:textId="77777777" w:rsidR="00C244A8" w:rsidRPr="00031E6B" w:rsidRDefault="00C244A8" w:rsidP="00C244A8">
            <w:pPr>
              <w:spacing w:after="160"/>
              <w:rPr>
                <w:sz w:val="22"/>
                <w:szCs w:val="22"/>
              </w:rPr>
            </w:pPr>
            <w:r>
              <w:rPr>
                <w:noProof/>
                <w:lang w:eastAsia="zh-CN"/>
              </w:rPr>
              <w:drawing>
                <wp:inline distT="0" distB="0" distL="0" distR="0" wp14:anchorId="78E88239" wp14:editId="0AD8B4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7C2F8DE" w14:textId="77777777" w:rsidTr="00E2414B">
        <w:trPr>
          <w:cantSplit/>
        </w:trPr>
        <w:tc>
          <w:tcPr>
            <w:tcW w:w="6614" w:type="dxa"/>
            <w:tcBorders>
              <w:top w:val="nil"/>
              <w:left w:val="nil"/>
              <w:bottom w:val="single" w:sz="12" w:space="0" w:color="auto"/>
              <w:right w:val="nil"/>
            </w:tcBorders>
          </w:tcPr>
          <w:p w14:paraId="59B54BB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B2724FF" w14:textId="77777777" w:rsidR="009759FE" w:rsidRPr="000A3B30" w:rsidRDefault="009759FE" w:rsidP="00E2414B">
            <w:pPr>
              <w:spacing w:before="0"/>
              <w:rPr>
                <w:rFonts w:eastAsia="Times New Roman"/>
              </w:rPr>
            </w:pPr>
          </w:p>
        </w:tc>
      </w:tr>
      <w:tr w:rsidR="009759FE" w14:paraId="7A8BEBF8" w14:textId="77777777" w:rsidTr="00E2414B">
        <w:trPr>
          <w:cantSplit/>
        </w:trPr>
        <w:tc>
          <w:tcPr>
            <w:tcW w:w="6614" w:type="dxa"/>
            <w:tcBorders>
              <w:top w:val="single" w:sz="12" w:space="0" w:color="auto"/>
              <w:left w:val="nil"/>
              <w:bottom w:val="nil"/>
              <w:right w:val="nil"/>
            </w:tcBorders>
          </w:tcPr>
          <w:p w14:paraId="1DD23943" w14:textId="77777777" w:rsidR="009759FE" w:rsidRPr="00400909" w:rsidRDefault="009759FE" w:rsidP="00E2414B">
            <w:pPr>
              <w:spacing w:before="0"/>
              <w:rPr>
                <w:rFonts w:eastAsia="Times New Roman"/>
              </w:rPr>
            </w:pPr>
          </w:p>
        </w:tc>
        <w:tc>
          <w:tcPr>
            <w:tcW w:w="3197" w:type="dxa"/>
          </w:tcPr>
          <w:p w14:paraId="24EB864D" w14:textId="77777777" w:rsidR="009759FE" w:rsidRPr="00031E6B" w:rsidRDefault="009759FE" w:rsidP="00E2414B">
            <w:pPr>
              <w:spacing w:before="0"/>
              <w:rPr>
                <w:rFonts w:ascii="Verdana" w:hAnsi="Verdana"/>
                <w:b/>
                <w:bCs/>
                <w:sz w:val="20"/>
                <w:szCs w:val="22"/>
              </w:rPr>
            </w:pPr>
          </w:p>
        </w:tc>
      </w:tr>
      <w:tr w:rsidR="000A3B30" w14:paraId="15BCBE24" w14:textId="77777777" w:rsidTr="00E2414B">
        <w:trPr>
          <w:cantSplit/>
        </w:trPr>
        <w:tc>
          <w:tcPr>
            <w:tcW w:w="6614" w:type="dxa"/>
          </w:tcPr>
          <w:p w14:paraId="64E88B8B"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83E367A" w14:textId="77777777" w:rsidR="000A3B30" w:rsidRPr="00622560" w:rsidRDefault="000A3B30" w:rsidP="00BD7C7C">
            <w:pPr>
              <w:pStyle w:val="DocNumber"/>
            </w:pPr>
            <w:proofErr w:type="spellStart"/>
            <w:r>
              <w:t>文件</w:t>
            </w:r>
            <w:proofErr w:type="spellEnd"/>
            <w:r>
              <w:t xml:space="preserve"> 39 (Add.32)</w:t>
            </w:r>
            <w:r w:rsidRPr="00622560">
              <w:t>-</w:t>
            </w:r>
            <w:r w:rsidRPr="000273B7">
              <w:t>C</w:t>
            </w:r>
          </w:p>
        </w:tc>
      </w:tr>
      <w:tr w:rsidR="000A3B30" w14:paraId="2DBB8EED" w14:textId="77777777" w:rsidTr="00E2414B">
        <w:trPr>
          <w:cantSplit/>
        </w:trPr>
        <w:tc>
          <w:tcPr>
            <w:tcW w:w="6614" w:type="dxa"/>
          </w:tcPr>
          <w:p w14:paraId="04D71A10" w14:textId="25A12AB6" w:rsidR="000A3B30" w:rsidRPr="00C324A8" w:rsidRDefault="000A3B30" w:rsidP="00E2414B">
            <w:pPr>
              <w:spacing w:before="0"/>
              <w:rPr>
                <w:rFonts w:ascii="Verdana" w:hAnsi="Verdana"/>
                <w:b/>
                <w:smallCaps/>
                <w:sz w:val="20"/>
              </w:rPr>
            </w:pPr>
          </w:p>
        </w:tc>
        <w:tc>
          <w:tcPr>
            <w:tcW w:w="3197" w:type="dxa"/>
            <w:hideMark/>
          </w:tcPr>
          <w:p w14:paraId="4B0F8704"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0A3B30" w14:paraId="2D7FD815" w14:textId="77777777" w:rsidTr="00E2414B">
        <w:trPr>
          <w:cantSplit/>
        </w:trPr>
        <w:tc>
          <w:tcPr>
            <w:tcW w:w="6614" w:type="dxa"/>
          </w:tcPr>
          <w:p w14:paraId="0F66F836" w14:textId="77777777" w:rsidR="000A3B30" w:rsidRPr="00031E6B" w:rsidRDefault="000A3B30" w:rsidP="00E2414B">
            <w:pPr>
              <w:spacing w:before="0"/>
              <w:rPr>
                <w:sz w:val="22"/>
                <w:szCs w:val="22"/>
              </w:rPr>
            </w:pPr>
          </w:p>
        </w:tc>
        <w:tc>
          <w:tcPr>
            <w:tcW w:w="3197" w:type="dxa"/>
            <w:hideMark/>
          </w:tcPr>
          <w:p w14:paraId="7C4CE87C"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原文：西班牙文</w:t>
            </w:r>
            <w:proofErr w:type="spellEnd"/>
          </w:p>
        </w:tc>
      </w:tr>
      <w:tr w:rsidR="009D164C" w14:paraId="0F5CB96A" w14:textId="77777777" w:rsidTr="00E2414B">
        <w:trPr>
          <w:cantSplit/>
        </w:trPr>
        <w:tc>
          <w:tcPr>
            <w:tcW w:w="9811" w:type="dxa"/>
            <w:gridSpan w:val="2"/>
          </w:tcPr>
          <w:p w14:paraId="1C915AFF" w14:textId="77777777" w:rsidR="009D164C" w:rsidRPr="00031E6B" w:rsidRDefault="009D164C" w:rsidP="00E2414B">
            <w:pPr>
              <w:spacing w:before="0"/>
              <w:rPr>
                <w:rFonts w:ascii="Verdana" w:hAnsi="Verdana"/>
                <w:b/>
                <w:bCs/>
                <w:sz w:val="20"/>
                <w:szCs w:val="22"/>
              </w:rPr>
            </w:pPr>
          </w:p>
        </w:tc>
      </w:tr>
      <w:tr w:rsidR="000A3B30" w14:paraId="3CFB43E5" w14:textId="77777777" w:rsidTr="00E2414B">
        <w:trPr>
          <w:cantSplit/>
        </w:trPr>
        <w:tc>
          <w:tcPr>
            <w:tcW w:w="9811" w:type="dxa"/>
            <w:gridSpan w:val="2"/>
            <w:hideMark/>
          </w:tcPr>
          <w:p w14:paraId="7341C3A3"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RPr="00430443" w14:paraId="57885EA6" w14:textId="77777777" w:rsidTr="00E2414B">
        <w:trPr>
          <w:cantSplit/>
        </w:trPr>
        <w:tc>
          <w:tcPr>
            <w:tcW w:w="9811" w:type="dxa"/>
            <w:gridSpan w:val="2"/>
            <w:hideMark/>
          </w:tcPr>
          <w:p w14:paraId="0E686F74" w14:textId="2EBF076E" w:rsidR="000A3B30" w:rsidRPr="00430443" w:rsidRDefault="00C822D8" w:rsidP="00E2414B">
            <w:pPr>
              <w:pStyle w:val="Title1"/>
              <w:rPr>
                <w:rFonts w:ascii="Verdana" w:hAnsi="Verdana"/>
                <w:lang w:eastAsia="zh-CN"/>
              </w:rPr>
            </w:pPr>
            <w:r>
              <w:rPr>
                <w:rFonts w:hint="eastAsia"/>
                <w:lang w:eastAsia="zh-CN"/>
              </w:rPr>
              <w:t>第</w:t>
            </w:r>
            <w:r w:rsidR="00430443" w:rsidRPr="00031508">
              <w:rPr>
                <w:lang w:eastAsia="zh-CN"/>
              </w:rPr>
              <w:t>[IAP-3]</w:t>
            </w:r>
            <w:r w:rsidR="006B138E">
              <w:rPr>
                <w:rFonts w:hint="eastAsia"/>
                <w:lang w:eastAsia="zh-CN"/>
              </w:rPr>
              <w:t>号新决议草案：</w:t>
            </w:r>
            <w:r w:rsidR="003F2E35" w:rsidRPr="003F2E35">
              <w:rPr>
                <w:rFonts w:hint="eastAsia"/>
                <w:lang w:eastAsia="zh-CN"/>
              </w:rPr>
              <w:t>在国际电</w:t>
            </w:r>
            <w:proofErr w:type="gramStart"/>
            <w:r w:rsidR="003F2E35" w:rsidRPr="003F2E35">
              <w:rPr>
                <w:rFonts w:hint="eastAsia"/>
                <w:lang w:eastAsia="zh-CN"/>
              </w:rPr>
              <w:t>联电信</w:t>
            </w:r>
            <w:proofErr w:type="gramEnd"/>
            <w:r w:rsidR="003F2E35" w:rsidRPr="003F2E35">
              <w:rPr>
                <w:rFonts w:hint="eastAsia"/>
                <w:lang w:eastAsia="zh-CN"/>
              </w:rPr>
              <w:t>标准化部门的</w:t>
            </w:r>
            <w:r w:rsidR="00765296">
              <w:rPr>
                <w:lang w:eastAsia="zh-CN"/>
              </w:rPr>
              <w:br/>
            </w:r>
            <w:r w:rsidR="003F2E35" w:rsidRPr="003F2E35">
              <w:rPr>
                <w:rFonts w:hint="eastAsia"/>
                <w:lang w:eastAsia="zh-CN"/>
              </w:rPr>
              <w:t>活动中</w:t>
            </w:r>
            <w:r w:rsidR="006B138E">
              <w:rPr>
                <w:rFonts w:hint="eastAsia"/>
                <w:lang w:eastAsia="zh-CN"/>
              </w:rPr>
              <w:t>同等采用</w:t>
            </w:r>
            <w:r w:rsidR="003F2E35" w:rsidRPr="003F2E35">
              <w:rPr>
                <w:rFonts w:hint="eastAsia"/>
                <w:lang w:eastAsia="zh-CN"/>
              </w:rPr>
              <w:t>现场和虚拟</w:t>
            </w:r>
            <w:r w:rsidR="006E17E7">
              <w:rPr>
                <w:rFonts w:hint="eastAsia"/>
                <w:lang w:eastAsia="zh-CN"/>
              </w:rPr>
              <w:t>方式</w:t>
            </w:r>
          </w:p>
        </w:tc>
      </w:tr>
      <w:tr w:rsidR="000A3B30" w:rsidRPr="00430443" w14:paraId="1E785379" w14:textId="77777777" w:rsidTr="00E2414B">
        <w:trPr>
          <w:cantSplit/>
        </w:trPr>
        <w:tc>
          <w:tcPr>
            <w:tcW w:w="9811" w:type="dxa"/>
            <w:gridSpan w:val="2"/>
            <w:hideMark/>
          </w:tcPr>
          <w:p w14:paraId="25A3F846" w14:textId="77777777" w:rsidR="000A3B30" w:rsidRPr="00430443" w:rsidRDefault="000A3B30" w:rsidP="00E2414B">
            <w:pPr>
              <w:pStyle w:val="Title2"/>
              <w:rPr>
                <w:rFonts w:ascii="Verdana" w:hAnsi="Verdana"/>
                <w:lang w:eastAsia="zh-CN"/>
              </w:rPr>
            </w:pPr>
          </w:p>
        </w:tc>
      </w:tr>
      <w:tr w:rsidR="000A3B30" w:rsidRPr="00430443" w14:paraId="39F9659D" w14:textId="77777777" w:rsidTr="00BD7C7C">
        <w:trPr>
          <w:cantSplit/>
          <w:trHeight w:hRule="exact" w:val="120"/>
        </w:trPr>
        <w:tc>
          <w:tcPr>
            <w:tcW w:w="9811" w:type="dxa"/>
            <w:gridSpan w:val="2"/>
          </w:tcPr>
          <w:p w14:paraId="09270BB9" w14:textId="77777777" w:rsidR="000A3B30" w:rsidRPr="000273B7" w:rsidRDefault="000A3B30" w:rsidP="00E2414B">
            <w:pPr>
              <w:pStyle w:val="Agendaitem"/>
              <w:rPr>
                <w:lang w:eastAsia="zh-CN"/>
              </w:rPr>
            </w:pPr>
          </w:p>
        </w:tc>
      </w:tr>
    </w:tbl>
    <w:p w14:paraId="2FBC14B9" w14:textId="77777777" w:rsidR="003556C0" w:rsidRPr="00430443" w:rsidRDefault="003556C0" w:rsidP="003556C0">
      <w:pPr>
        <w:rPr>
          <w:lang w:eastAsia="zh-CN"/>
        </w:rPr>
      </w:pPr>
    </w:p>
    <w:tbl>
      <w:tblPr>
        <w:tblW w:w="5089" w:type="pct"/>
        <w:tblLayout w:type="fixed"/>
        <w:tblLook w:val="0000" w:firstRow="0" w:lastRow="0" w:firstColumn="0" w:lastColumn="0" w:noHBand="0" w:noVBand="0"/>
      </w:tblPr>
      <w:tblGrid>
        <w:gridCol w:w="1276"/>
        <w:gridCol w:w="8535"/>
      </w:tblGrid>
      <w:tr w:rsidR="003556C0" w:rsidRPr="00426748" w14:paraId="6BC47CAE" w14:textId="77777777" w:rsidTr="004913CE">
        <w:trPr>
          <w:cantSplit/>
        </w:trPr>
        <w:tc>
          <w:tcPr>
            <w:tcW w:w="1276" w:type="dxa"/>
          </w:tcPr>
          <w:p w14:paraId="5D73CB22"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3E44AD98" w14:textId="57B39352" w:rsidR="003556C0" w:rsidRPr="00BD7C7C" w:rsidRDefault="003F2E35" w:rsidP="00231452">
            <w:pPr>
              <w:rPr>
                <w:highlight w:val="yellow"/>
                <w:lang w:eastAsia="zh-CN"/>
              </w:rPr>
            </w:pPr>
            <w:r w:rsidRPr="003F2E35">
              <w:rPr>
                <w:rFonts w:hint="eastAsia"/>
                <w:lang w:eastAsia="zh-CN"/>
              </w:rPr>
              <w:t>希望国际电</w:t>
            </w:r>
            <w:proofErr w:type="gramStart"/>
            <w:r w:rsidRPr="003F2E35">
              <w:rPr>
                <w:rFonts w:hint="eastAsia"/>
                <w:lang w:eastAsia="zh-CN"/>
              </w:rPr>
              <w:t>联电信</w:t>
            </w:r>
            <w:proofErr w:type="gramEnd"/>
            <w:r w:rsidRPr="003F2E35">
              <w:rPr>
                <w:rFonts w:hint="eastAsia"/>
                <w:lang w:eastAsia="zh-CN"/>
              </w:rPr>
              <w:t>标准化部门（</w:t>
            </w:r>
            <w:r w:rsidRPr="003F2E35">
              <w:rPr>
                <w:rFonts w:hint="eastAsia"/>
                <w:lang w:eastAsia="zh-CN"/>
              </w:rPr>
              <w:t>ITU-T</w:t>
            </w:r>
            <w:r w:rsidRPr="003F2E35">
              <w:rPr>
                <w:rFonts w:hint="eastAsia"/>
                <w:lang w:eastAsia="zh-CN"/>
              </w:rPr>
              <w:t>）的活动同时</w:t>
            </w:r>
            <w:r w:rsidR="006B138E">
              <w:rPr>
                <w:rFonts w:hint="eastAsia"/>
                <w:lang w:eastAsia="zh-CN"/>
              </w:rPr>
              <w:t>采用</w:t>
            </w:r>
            <w:r w:rsidRPr="003F2E35">
              <w:rPr>
                <w:rFonts w:hint="eastAsia"/>
                <w:lang w:eastAsia="zh-CN"/>
              </w:rPr>
              <w:t>现场和虚拟</w:t>
            </w:r>
            <w:r w:rsidR="006E17E7">
              <w:rPr>
                <w:rFonts w:hint="eastAsia"/>
                <w:lang w:eastAsia="zh-CN"/>
              </w:rPr>
              <w:t>方式</w:t>
            </w:r>
            <w:r w:rsidRPr="003F2E35">
              <w:rPr>
                <w:rFonts w:hint="eastAsia"/>
                <w:lang w:eastAsia="zh-CN"/>
              </w:rPr>
              <w:t>将有助于弥合标准化差距（</w:t>
            </w:r>
            <w:r w:rsidRPr="003F2E35">
              <w:rPr>
                <w:rFonts w:hint="eastAsia"/>
                <w:lang w:eastAsia="zh-CN"/>
              </w:rPr>
              <w:t>BSG</w:t>
            </w:r>
            <w:r w:rsidRPr="003F2E35">
              <w:rPr>
                <w:rFonts w:hint="eastAsia"/>
                <w:lang w:eastAsia="zh-CN"/>
              </w:rPr>
              <w:t>），提高标准化进程的效率。</w:t>
            </w:r>
          </w:p>
        </w:tc>
      </w:tr>
    </w:tbl>
    <w:p w14:paraId="16635396" w14:textId="7CC89E74" w:rsidR="00A4483C" w:rsidRPr="003F2E35" w:rsidRDefault="006B138E" w:rsidP="00034118">
      <w:pPr>
        <w:pStyle w:val="Headingb"/>
        <w:rPr>
          <w:lang w:val="en-US" w:eastAsia="zh-CN"/>
        </w:rPr>
      </w:pPr>
      <w:r>
        <w:rPr>
          <w:rFonts w:hint="eastAsia"/>
          <w:lang w:val="en-US" w:eastAsia="zh-CN"/>
        </w:rPr>
        <w:t>引言</w:t>
      </w:r>
    </w:p>
    <w:p w14:paraId="7B8A6C7E" w14:textId="35659703" w:rsidR="00A4483C" w:rsidRPr="00A4483C" w:rsidRDefault="003F2E35" w:rsidP="00765296">
      <w:pPr>
        <w:ind w:firstLineChars="200" w:firstLine="480"/>
        <w:rPr>
          <w:rFonts w:eastAsia="Times New Roman"/>
          <w:lang w:eastAsia="zh-CN"/>
        </w:rPr>
      </w:pPr>
      <w:r w:rsidRPr="003F2E35">
        <w:rPr>
          <w:rFonts w:ascii="SimSun" w:hAnsi="SimSun" w:cs="SimSun" w:hint="eastAsia"/>
          <w:lang w:eastAsia="zh-CN"/>
        </w:rPr>
        <w:t>虽然</w:t>
      </w:r>
      <w:r w:rsidRPr="003F2E35">
        <w:rPr>
          <w:rFonts w:eastAsia="Times New Roman" w:hint="eastAsia"/>
          <w:lang w:eastAsia="zh-CN"/>
        </w:rPr>
        <w:t>ITU-T</w:t>
      </w:r>
      <w:r w:rsidRPr="003F2E35">
        <w:rPr>
          <w:rFonts w:ascii="SimSun" w:hAnsi="SimSun" w:cs="SimSun" w:hint="eastAsia"/>
          <w:lang w:eastAsia="zh-CN"/>
        </w:rPr>
        <w:t>内部在使用电子工作方法方面取得了进展，</w:t>
      </w:r>
      <w:proofErr w:type="gramStart"/>
      <w:r w:rsidR="003B2115">
        <w:rPr>
          <w:rFonts w:ascii="SimSun" w:hAnsi="SimSun" w:cs="SimSun" w:hint="eastAsia"/>
          <w:lang w:eastAsia="zh-CN"/>
        </w:rPr>
        <w:t>且国际</w:t>
      </w:r>
      <w:proofErr w:type="gramEnd"/>
      <w:r w:rsidR="003B2115">
        <w:rPr>
          <w:rFonts w:ascii="SimSun" w:hAnsi="SimSun" w:cs="SimSun" w:hint="eastAsia"/>
          <w:lang w:eastAsia="zh-CN"/>
        </w:rPr>
        <w:t>电联</w:t>
      </w:r>
      <w:r w:rsidR="00282E29">
        <w:rPr>
          <w:rFonts w:ascii="SimSun" w:hAnsi="SimSun" w:cs="SimSun" w:hint="eastAsia"/>
          <w:lang w:eastAsia="zh-CN"/>
        </w:rPr>
        <w:t>已</w:t>
      </w:r>
      <w:r w:rsidRPr="003F2E35">
        <w:rPr>
          <w:rFonts w:ascii="SimSun" w:hAnsi="SimSun" w:cs="SimSun" w:hint="eastAsia"/>
          <w:lang w:eastAsia="zh-CN"/>
        </w:rPr>
        <w:t>创建了一个虚拟工作平台，但在</w:t>
      </w:r>
      <w:r w:rsidR="003B2115">
        <w:rPr>
          <w:rFonts w:ascii="SimSun" w:hAnsi="SimSun" w:cs="SimSun" w:hint="eastAsia"/>
          <w:lang w:eastAsia="zh-CN"/>
        </w:rPr>
        <w:t>以现场出席</w:t>
      </w:r>
      <w:r w:rsidRPr="003F2E35">
        <w:rPr>
          <w:rFonts w:ascii="SimSun" w:hAnsi="SimSun" w:cs="SimSun" w:hint="eastAsia"/>
          <w:lang w:eastAsia="zh-CN"/>
        </w:rPr>
        <w:t>和虚拟</w:t>
      </w:r>
      <w:r w:rsidR="003B2115">
        <w:rPr>
          <w:rFonts w:ascii="SimSun" w:hAnsi="SimSun" w:cs="SimSun" w:hint="eastAsia"/>
          <w:lang w:eastAsia="zh-CN"/>
        </w:rPr>
        <w:t>出席方式举行</w:t>
      </w:r>
      <w:r w:rsidRPr="003F2E35">
        <w:rPr>
          <w:rFonts w:ascii="SimSun" w:hAnsi="SimSun" w:cs="SimSun" w:hint="eastAsia"/>
          <w:lang w:eastAsia="zh-CN"/>
        </w:rPr>
        <w:t>的</w:t>
      </w:r>
      <w:r w:rsidR="003B2115" w:rsidRPr="003F2E35">
        <w:rPr>
          <w:rFonts w:ascii="SimSun" w:hAnsi="SimSun" w:cs="SimSun" w:hint="eastAsia"/>
          <w:lang w:eastAsia="zh-CN"/>
        </w:rPr>
        <w:t>研究组会议</w:t>
      </w:r>
      <w:r w:rsidRPr="003F2E35">
        <w:rPr>
          <w:rFonts w:ascii="SimSun" w:hAnsi="SimSun" w:cs="SimSun" w:hint="eastAsia"/>
          <w:lang w:eastAsia="zh-CN"/>
        </w:rPr>
        <w:t>之间</w:t>
      </w:r>
      <w:r w:rsidR="003B2115">
        <w:rPr>
          <w:rFonts w:ascii="SimSun" w:hAnsi="SimSun" w:cs="SimSun" w:hint="eastAsia"/>
          <w:lang w:eastAsia="zh-CN"/>
        </w:rPr>
        <w:t>仍</w:t>
      </w:r>
      <w:r w:rsidRPr="003F2E35">
        <w:rPr>
          <w:rFonts w:ascii="SimSun" w:hAnsi="SimSun" w:cs="SimSun" w:hint="eastAsia"/>
          <w:lang w:eastAsia="zh-CN"/>
        </w:rPr>
        <w:t>存在差距。</w:t>
      </w:r>
    </w:p>
    <w:p w14:paraId="08711729" w14:textId="06D1810B" w:rsidR="00A4483C" w:rsidRPr="00A4483C" w:rsidRDefault="006E17E7" w:rsidP="00765296">
      <w:pPr>
        <w:ind w:firstLineChars="200" w:firstLine="480"/>
        <w:rPr>
          <w:rFonts w:eastAsia="Times New Roman"/>
          <w:lang w:eastAsia="zh-CN"/>
        </w:rPr>
      </w:pPr>
      <w:r>
        <w:rPr>
          <w:rFonts w:hint="eastAsia"/>
          <w:lang w:eastAsia="zh-CN"/>
        </w:rPr>
        <w:t>新冠</w:t>
      </w:r>
      <w:r w:rsidR="003F2E35" w:rsidRPr="003F2E35">
        <w:rPr>
          <w:rFonts w:ascii="SimSun" w:hAnsi="SimSun" w:cs="SimSun" w:hint="eastAsia"/>
          <w:lang w:eastAsia="zh-CN"/>
        </w:rPr>
        <w:t>（</w:t>
      </w:r>
      <w:r w:rsidR="003F2E35" w:rsidRPr="003F2E35">
        <w:rPr>
          <w:rFonts w:eastAsia="Times New Roman" w:hint="eastAsia"/>
          <w:lang w:eastAsia="zh-CN"/>
        </w:rPr>
        <w:t>COVID-19</w:t>
      </w:r>
      <w:r w:rsidR="003F2E35" w:rsidRPr="003F2E35">
        <w:rPr>
          <w:rFonts w:ascii="SimSun" w:hAnsi="SimSun" w:cs="SimSun" w:hint="eastAsia"/>
          <w:lang w:eastAsia="zh-CN"/>
        </w:rPr>
        <w:t>）</w:t>
      </w:r>
      <w:r>
        <w:rPr>
          <w:rFonts w:hint="eastAsia"/>
          <w:lang w:eastAsia="zh-CN"/>
        </w:rPr>
        <w:t>疫情</w:t>
      </w:r>
      <w:r w:rsidR="003F2E35" w:rsidRPr="003F2E35">
        <w:rPr>
          <w:rFonts w:ascii="SimSun" w:hAnsi="SimSun" w:cs="SimSun" w:hint="eastAsia"/>
          <w:lang w:eastAsia="zh-CN"/>
        </w:rPr>
        <w:t>引发的紧急情况加速了对现有合作平台的充分利用，这使得各研究组能够以完全虚拟的方式继续</w:t>
      </w:r>
      <w:r w:rsidR="00282E29">
        <w:rPr>
          <w:rFonts w:ascii="SimSun" w:hAnsi="SimSun" w:cs="SimSun" w:hint="eastAsia"/>
          <w:lang w:eastAsia="zh-CN"/>
        </w:rPr>
        <w:t>开展</w:t>
      </w:r>
      <w:r w:rsidR="003F2E35" w:rsidRPr="003F2E35">
        <w:rPr>
          <w:rFonts w:ascii="SimSun" w:hAnsi="SimSun" w:cs="SimSun" w:hint="eastAsia"/>
          <w:lang w:eastAsia="zh-CN"/>
        </w:rPr>
        <w:t>工作，特别是在</w:t>
      </w:r>
      <w:r w:rsidR="003F2E35" w:rsidRPr="003F2E35">
        <w:rPr>
          <w:rFonts w:eastAsia="Times New Roman" w:hint="eastAsia"/>
          <w:lang w:eastAsia="zh-CN"/>
        </w:rPr>
        <w:t>ITU-T</w:t>
      </w:r>
      <w:r w:rsidR="003F2E35" w:rsidRPr="003F2E35">
        <w:rPr>
          <w:rFonts w:ascii="SimSun" w:hAnsi="SimSun" w:cs="SimSun" w:hint="eastAsia"/>
          <w:lang w:eastAsia="zh-CN"/>
        </w:rPr>
        <w:t>内部举行的会议。</w:t>
      </w:r>
    </w:p>
    <w:p w14:paraId="75923D42" w14:textId="2596301B" w:rsidR="00A4483C" w:rsidRPr="00A4483C" w:rsidRDefault="003F2E35" w:rsidP="00765296">
      <w:pPr>
        <w:ind w:firstLineChars="200" w:firstLine="480"/>
        <w:rPr>
          <w:rFonts w:eastAsia="Times New Roman"/>
          <w:lang w:eastAsia="zh-CN"/>
        </w:rPr>
      </w:pPr>
      <w:r w:rsidRPr="003F2E35">
        <w:rPr>
          <w:rFonts w:ascii="SimSun" w:hAnsi="SimSun" w:cs="SimSun" w:hint="eastAsia"/>
          <w:lang w:eastAsia="zh-CN"/>
        </w:rPr>
        <w:t>在正常情况下举行的研究组会议中，</w:t>
      </w:r>
      <w:r w:rsidRPr="003F2E35">
        <w:rPr>
          <w:rFonts w:eastAsia="Times New Roman" w:hint="eastAsia"/>
          <w:lang w:eastAsia="zh-CN"/>
        </w:rPr>
        <w:t>ITU-T</w:t>
      </w:r>
      <w:r w:rsidR="006E17E7">
        <w:rPr>
          <w:rFonts w:ascii="SimSun" w:hAnsi="SimSun" w:cs="SimSun" w:hint="eastAsia"/>
          <w:lang w:eastAsia="zh-CN"/>
        </w:rPr>
        <w:t>采用</w:t>
      </w:r>
      <w:r w:rsidRPr="003F2E35">
        <w:rPr>
          <w:rFonts w:ascii="SimSun" w:hAnsi="SimSun" w:cs="SimSun" w:hint="eastAsia"/>
          <w:lang w:eastAsia="zh-CN"/>
        </w:rPr>
        <w:t>的虚拟参与工具没有得到充分利用，仅在特定场合</w:t>
      </w:r>
      <w:r w:rsidR="006E17E7">
        <w:rPr>
          <w:rFonts w:ascii="SimSun" w:hAnsi="SimSun" w:cs="SimSun" w:hint="eastAsia"/>
          <w:lang w:eastAsia="zh-CN"/>
        </w:rPr>
        <w:t>启用</w:t>
      </w:r>
      <w:r w:rsidRPr="003F2E35">
        <w:rPr>
          <w:rFonts w:ascii="SimSun" w:hAnsi="SimSun" w:cs="SimSun" w:hint="eastAsia"/>
          <w:lang w:eastAsia="zh-CN"/>
        </w:rPr>
        <w:t>。无论会议是虚拟举行还是</w:t>
      </w:r>
      <w:r w:rsidR="006E17E7">
        <w:rPr>
          <w:rFonts w:ascii="SimSun" w:hAnsi="SimSun" w:cs="SimSun" w:hint="eastAsia"/>
          <w:lang w:eastAsia="zh-CN"/>
        </w:rPr>
        <w:t>现场</w:t>
      </w:r>
      <w:r w:rsidRPr="003F2E35">
        <w:rPr>
          <w:rFonts w:ascii="SimSun" w:hAnsi="SimSun" w:cs="SimSun" w:hint="eastAsia"/>
          <w:lang w:eastAsia="zh-CN"/>
        </w:rPr>
        <w:t>举行，这一工具应始终可用，并应</w:t>
      </w:r>
      <w:r w:rsidR="006E17E7">
        <w:rPr>
          <w:rFonts w:ascii="SimSun" w:hAnsi="SimSun" w:cs="SimSun" w:hint="eastAsia"/>
          <w:lang w:eastAsia="zh-CN"/>
        </w:rPr>
        <w:t>在</w:t>
      </w:r>
      <w:r w:rsidRPr="003F2E35">
        <w:rPr>
          <w:rFonts w:ascii="SimSun" w:hAnsi="SimSun" w:cs="SimSun" w:hint="eastAsia"/>
          <w:lang w:eastAsia="zh-CN"/>
        </w:rPr>
        <w:t>所有活动和会议</w:t>
      </w:r>
      <w:r w:rsidR="006E17E7">
        <w:rPr>
          <w:rFonts w:ascii="SimSun" w:hAnsi="SimSun" w:cs="SimSun" w:hint="eastAsia"/>
          <w:lang w:eastAsia="zh-CN"/>
        </w:rPr>
        <w:t>中</w:t>
      </w:r>
      <w:r w:rsidRPr="003F2E35">
        <w:rPr>
          <w:rFonts w:ascii="SimSun" w:hAnsi="SimSun" w:cs="SimSun" w:hint="eastAsia"/>
          <w:lang w:eastAsia="zh-CN"/>
        </w:rPr>
        <w:t>保持最新状态。</w:t>
      </w:r>
    </w:p>
    <w:p w14:paraId="0645041E" w14:textId="28A714B7" w:rsidR="00A4483C" w:rsidRPr="00A4483C" w:rsidRDefault="003F2E35" w:rsidP="00765296">
      <w:pPr>
        <w:ind w:firstLineChars="200" w:firstLine="480"/>
        <w:rPr>
          <w:rFonts w:eastAsia="Times New Roman"/>
          <w:lang w:eastAsia="zh-CN"/>
        </w:rPr>
      </w:pPr>
      <w:r w:rsidRPr="003F2E35">
        <w:rPr>
          <w:rFonts w:ascii="SimSun" w:hAnsi="SimSun" w:cs="SimSun" w:hint="eastAsia"/>
          <w:lang w:eastAsia="zh-CN"/>
        </w:rPr>
        <w:t>在这方面，建议</w:t>
      </w:r>
      <w:r w:rsidR="00C822D8" w:rsidRPr="003F2E35">
        <w:rPr>
          <w:rFonts w:ascii="SimSun" w:hAnsi="SimSun" w:cs="SimSun" w:hint="eastAsia"/>
          <w:lang w:eastAsia="zh-CN"/>
        </w:rPr>
        <w:t>不加区别</w:t>
      </w:r>
      <w:r w:rsidRPr="003F2E35">
        <w:rPr>
          <w:rFonts w:ascii="SimSun" w:hAnsi="SimSun" w:cs="SimSun" w:hint="eastAsia"/>
          <w:lang w:eastAsia="zh-CN"/>
        </w:rPr>
        <w:t>地使用</w:t>
      </w:r>
      <w:r w:rsidR="006E17E7">
        <w:rPr>
          <w:rFonts w:ascii="SimSun" w:hAnsi="SimSun" w:cs="SimSun" w:hint="eastAsia"/>
          <w:lang w:eastAsia="zh-CN"/>
        </w:rPr>
        <w:t>现场</w:t>
      </w:r>
      <w:r w:rsidRPr="003F2E35">
        <w:rPr>
          <w:rFonts w:ascii="SimSun" w:hAnsi="SimSun" w:cs="SimSun" w:hint="eastAsia"/>
          <w:lang w:eastAsia="zh-CN"/>
        </w:rPr>
        <w:t>和虚拟</w:t>
      </w:r>
      <w:r w:rsidR="006E17E7">
        <w:rPr>
          <w:rFonts w:ascii="SimSun" w:hAnsi="SimSun" w:cs="SimSun" w:hint="eastAsia"/>
          <w:lang w:eastAsia="zh-CN"/>
        </w:rPr>
        <w:t>方式</w:t>
      </w:r>
      <w:r w:rsidRPr="003F2E35">
        <w:rPr>
          <w:rFonts w:ascii="SimSun" w:hAnsi="SimSun" w:cs="SimSun" w:hint="eastAsia"/>
          <w:lang w:eastAsia="zh-CN"/>
        </w:rPr>
        <w:t>，以确保电子工作方法与</w:t>
      </w:r>
      <w:r w:rsidR="006E17E7">
        <w:rPr>
          <w:rFonts w:ascii="SimSun" w:hAnsi="SimSun" w:cs="SimSun" w:hint="eastAsia"/>
          <w:lang w:eastAsia="zh-CN"/>
        </w:rPr>
        <w:t>现场</w:t>
      </w:r>
      <w:r w:rsidRPr="003F2E35">
        <w:rPr>
          <w:rFonts w:ascii="SimSun" w:hAnsi="SimSun" w:cs="SimSun" w:hint="eastAsia"/>
          <w:lang w:eastAsia="zh-CN"/>
        </w:rPr>
        <w:t>工作方法平等、同步并充分融合。</w:t>
      </w:r>
    </w:p>
    <w:p w14:paraId="20BB9F2F" w14:textId="05540778" w:rsidR="00A4483C" w:rsidRPr="003F2E35" w:rsidRDefault="006E17E7" w:rsidP="00034118">
      <w:pPr>
        <w:pStyle w:val="Headingb"/>
        <w:rPr>
          <w:lang w:val="en-US" w:eastAsia="zh-CN"/>
        </w:rPr>
      </w:pPr>
      <w:r>
        <w:rPr>
          <w:rFonts w:hint="eastAsia"/>
          <w:lang w:val="en-GB" w:eastAsia="zh-CN"/>
        </w:rPr>
        <w:t>提案</w:t>
      </w:r>
    </w:p>
    <w:p w14:paraId="08A6B896" w14:textId="2F1D9FA3" w:rsidR="005C7B12" w:rsidRPr="00F7417E" w:rsidRDefault="003F2E35" w:rsidP="00765296">
      <w:pPr>
        <w:ind w:firstLineChars="200" w:firstLine="480"/>
        <w:rPr>
          <w:lang w:eastAsia="zh-CN"/>
        </w:rPr>
      </w:pPr>
      <w:r w:rsidRPr="003F2E35">
        <w:rPr>
          <w:rFonts w:ascii="SimSun" w:hAnsi="SimSun" w:cs="SimSun" w:hint="eastAsia"/>
          <w:lang w:eastAsia="zh-CN"/>
        </w:rPr>
        <w:t>美洲电信委员会</w:t>
      </w:r>
      <w:r w:rsidR="006E17E7">
        <w:rPr>
          <w:rFonts w:ascii="SimSun" w:hAnsi="SimSun" w:cs="SimSun" w:hint="eastAsia"/>
          <w:lang w:eastAsia="zh-CN"/>
        </w:rPr>
        <w:t>（</w:t>
      </w:r>
      <w:r w:rsidR="006E17E7" w:rsidRPr="00A4483C">
        <w:rPr>
          <w:rFonts w:eastAsia="Times New Roman"/>
          <w:lang w:eastAsia="zh-CN"/>
        </w:rPr>
        <w:t>CITEL</w:t>
      </w:r>
      <w:r w:rsidR="006E17E7">
        <w:rPr>
          <w:rFonts w:ascii="SimSun" w:hAnsi="SimSun" w:cs="SimSun" w:hint="eastAsia"/>
          <w:lang w:eastAsia="zh-CN"/>
        </w:rPr>
        <w:t>）</w:t>
      </w:r>
      <w:r w:rsidRPr="003F2E35">
        <w:rPr>
          <w:rFonts w:ascii="SimSun" w:hAnsi="SimSun" w:cs="SimSun" w:hint="eastAsia"/>
          <w:lang w:eastAsia="zh-CN"/>
        </w:rPr>
        <w:t>成员国提出</w:t>
      </w:r>
      <w:r w:rsidR="006E17E7">
        <w:rPr>
          <w:rFonts w:ascii="SimSun" w:hAnsi="SimSun" w:cs="SimSun" w:hint="eastAsia"/>
          <w:lang w:eastAsia="zh-CN"/>
        </w:rPr>
        <w:t>后</w:t>
      </w:r>
      <w:r w:rsidRPr="003F2E35">
        <w:rPr>
          <w:rFonts w:ascii="SimSun" w:hAnsi="SimSun" w:cs="SimSun" w:hint="eastAsia"/>
          <w:lang w:eastAsia="zh-CN"/>
        </w:rPr>
        <w:t>附的关于不加区别地使用</w:t>
      </w:r>
      <w:r w:rsidR="00C822D8">
        <w:rPr>
          <w:rFonts w:ascii="SimSun" w:hAnsi="SimSun" w:cs="SimSun" w:hint="eastAsia"/>
          <w:lang w:eastAsia="zh-CN"/>
        </w:rPr>
        <w:t>现场</w:t>
      </w:r>
      <w:r w:rsidRPr="003F2E35">
        <w:rPr>
          <w:rFonts w:ascii="SimSun" w:hAnsi="SimSun" w:cs="SimSun" w:hint="eastAsia"/>
          <w:lang w:eastAsia="zh-CN"/>
        </w:rPr>
        <w:t>和虚拟</w:t>
      </w:r>
      <w:r w:rsidR="00C822D8">
        <w:rPr>
          <w:rFonts w:ascii="SimSun" w:hAnsi="SimSun" w:cs="SimSun" w:hint="eastAsia"/>
          <w:lang w:eastAsia="zh-CN"/>
        </w:rPr>
        <w:t>方式，</w:t>
      </w:r>
      <w:r w:rsidRPr="003F2E35">
        <w:rPr>
          <w:rFonts w:ascii="SimSun" w:hAnsi="SimSun" w:cs="SimSun" w:hint="eastAsia"/>
          <w:lang w:eastAsia="zh-CN"/>
        </w:rPr>
        <w:t>以确保电子工作方法与</w:t>
      </w:r>
      <w:r w:rsidR="00C822D8">
        <w:rPr>
          <w:rFonts w:ascii="SimSun" w:hAnsi="SimSun" w:cs="SimSun" w:hint="eastAsia"/>
          <w:lang w:eastAsia="zh-CN"/>
        </w:rPr>
        <w:t>现场</w:t>
      </w:r>
      <w:r w:rsidRPr="003F2E35">
        <w:rPr>
          <w:rFonts w:ascii="SimSun" w:hAnsi="SimSun" w:cs="SimSun" w:hint="eastAsia"/>
          <w:lang w:eastAsia="zh-CN"/>
        </w:rPr>
        <w:t>工作方法平等、同步并充分融合的新决议草案。</w:t>
      </w:r>
    </w:p>
    <w:p w14:paraId="7F03FA93" w14:textId="77777777" w:rsidR="00502B2E" w:rsidRPr="00F7417E" w:rsidRDefault="00502B2E" w:rsidP="00F7417E">
      <w:pPr>
        <w:rPr>
          <w:lang w:eastAsia="zh-CN"/>
        </w:rPr>
      </w:pPr>
      <w:r w:rsidRPr="00F7417E">
        <w:rPr>
          <w:lang w:eastAsia="zh-CN"/>
        </w:rPr>
        <w:br w:type="page"/>
      </w:r>
    </w:p>
    <w:p w14:paraId="5A9E755C" w14:textId="77777777" w:rsidR="00967C59" w:rsidRDefault="00AE7C24">
      <w:pPr>
        <w:pStyle w:val="Proposal"/>
        <w:rPr>
          <w:lang w:eastAsia="zh-CN"/>
        </w:rPr>
      </w:pPr>
      <w:r>
        <w:rPr>
          <w:lang w:eastAsia="zh-CN"/>
        </w:rPr>
        <w:lastRenderedPageBreak/>
        <w:t>ADD</w:t>
      </w:r>
      <w:r>
        <w:rPr>
          <w:lang w:eastAsia="zh-CN"/>
        </w:rPr>
        <w:tab/>
        <w:t>IAP/39A32/1</w:t>
      </w:r>
    </w:p>
    <w:p w14:paraId="1AC4B01A" w14:textId="69AEC95D" w:rsidR="00A4483C" w:rsidRPr="00116E3D" w:rsidRDefault="00B42DB6" w:rsidP="00A4483C">
      <w:pPr>
        <w:pStyle w:val="ResNo"/>
        <w:rPr>
          <w:highlight w:val="green"/>
          <w:lang w:eastAsia="zh-CN"/>
        </w:rPr>
      </w:pPr>
      <w:r>
        <w:rPr>
          <w:rFonts w:hint="eastAsia"/>
          <w:lang w:eastAsia="zh-CN"/>
        </w:rPr>
        <w:t>第</w:t>
      </w:r>
      <w:r w:rsidRPr="00B42DB6">
        <w:rPr>
          <w:lang w:eastAsia="zh-CN"/>
        </w:rPr>
        <w:t>[IAP-3]</w:t>
      </w:r>
      <w:r>
        <w:rPr>
          <w:rFonts w:hint="eastAsia"/>
          <w:lang w:eastAsia="zh-CN"/>
        </w:rPr>
        <w:t>号新决议草案（</w:t>
      </w:r>
      <w:r>
        <w:rPr>
          <w:rFonts w:hint="eastAsia"/>
          <w:lang w:eastAsia="zh-CN"/>
        </w:rPr>
        <w:t>2022</w:t>
      </w:r>
      <w:r>
        <w:rPr>
          <w:rFonts w:hint="eastAsia"/>
          <w:lang w:eastAsia="zh-CN"/>
        </w:rPr>
        <w:t>年，日内瓦）</w:t>
      </w:r>
    </w:p>
    <w:p w14:paraId="06A49596" w14:textId="44A76E5A" w:rsidR="00A4483C" w:rsidRPr="00CC6D3E" w:rsidRDefault="00C822D8" w:rsidP="00A4483C">
      <w:pPr>
        <w:pStyle w:val="Restitle"/>
        <w:rPr>
          <w:lang w:eastAsia="zh-CN"/>
        </w:rPr>
      </w:pPr>
      <w:r w:rsidRPr="003F2E35">
        <w:rPr>
          <w:rFonts w:hint="eastAsia"/>
          <w:lang w:eastAsia="zh-CN"/>
        </w:rPr>
        <w:t>在国际电</w:t>
      </w:r>
      <w:proofErr w:type="gramStart"/>
      <w:r w:rsidRPr="003F2E35">
        <w:rPr>
          <w:rFonts w:hint="eastAsia"/>
          <w:lang w:eastAsia="zh-CN"/>
        </w:rPr>
        <w:t>联电信</w:t>
      </w:r>
      <w:proofErr w:type="gramEnd"/>
      <w:r w:rsidRPr="003F2E35">
        <w:rPr>
          <w:rFonts w:hint="eastAsia"/>
          <w:lang w:eastAsia="zh-CN"/>
        </w:rPr>
        <w:t>标准化部门的</w:t>
      </w:r>
      <w:r w:rsidR="00CF6177">
        <w:rPr>
          <w:lang w:eastAsia="zh-CN"/>
        </w:rPr>
        <w:br/>
      </w:r>
      <w:r w:rsidRPr="003F2E35">
        <w:rPr>
          <w:rFonts w:hint="eastAsia"/>
          <w:lang w:eastAsia="zh-CN"/>
        </w:rPr>
        <w:t>活动中</w:t>
      </w:r>
      <w:r>
        <w:rPr>
          <w:rFonts w:hint="eastAsia"/>
          <w:lang w:eastAsia="zh-CN"/>
        </w:rPr>
        <w:t>同等采用</w:t>
      </w:r>
      <w:r w:rsidRPr="003F2E35">
        <w:rPr>
          <w:rFonts w:hint="eastAsia"/>
          <w:lang w:eastAsia="zh-CN"/>
        </w:rPr>
        <w:t>现场和虚拟</w:t>
      </w:r>
      <w:r>
        <w:rPr>
          <w:rFonts w:hint="eastAsia"/>
          <w:lang w:eastAsia="zh-CN"/>
        </w:rPr>
        <w:t>方式</w:t>
      </w:r>
    </w:p>
    <w:p w14:paraId="730B618C" w14:textId="579E314C" w:rsidR="00A4483C" w:rsidRPr="00116E3D" w:rsidRDefault="00AC0AC4" w:rsidP="00A4483C">
      <w:pPr>
        <w:pStyle w:val="Resref"/>
        <w:rPr>
          <w:lang w:eastAsia="zh-CN"/>
        </w:rPr>
      </w:pPr>
      <w:r>
        <w:rPr>
          <w:rFonts w:hint="eastAsia"/>
          <w:lang w:eastAsia="zh-CN"/>
        </w:rPr>
        <w:t>（</w:t>
      </w:r>
      <w:r w:rsidR="00116E3D" w:rsidRPr="00116E3D">
        <w:rPr>
          <w:lang w:eastAsia="zh-CN"/>
        </w:rPr>
        <w:t>2022</w:t>
      </w:r>
      <w:r w:rsidR="00116E3D">
        <w:rPr>
          <w:rFonts w:hint="eastAsia"/>
          <w:lang w:eastAsia="zh-CN"/>
        </w:rPr>
        <w:t>年，日内瓦</w:t>
      </w:r>
      <w:r>
        <w:rPr>
          <w:rFonts w:hint="eastAsia"/>
          <w:lang w:eastAsia="zh-CN"/>
        </w:rPr>
        <w:t>）</w:t>
      </w:r>
    </w:p>
    <w:p w14:paraId="16AA31B2" w14:textId="177F4223" w:rsidR="00A4483C" w:rsidRDefault="00B42DB6" w:rsidP="00A4483C">
      <w:pPr>
        <w:pStyle w:val="Normalaftertitle0"/>
        <w:rPr>
          <w:lang w:eastAsia="zh-CN"/>
        </w:rPr>
      </w:pPr>
      <w:r w:rsidRPr="007B49C6">
        <w:rPr>
          <w:rFonts w:hint="eastAsia"/>
          <w:lang w:eastAsia="zh-CN"/>
        </w:rPr>
        <w:t>世界电信标准化全会（</w:t>
      </w:r>
      <w:r w:rsidRPr="007B49C6">
        <w:rPr>
          <w:rFonts w:hint="eastAsia"/>
          <w:lang w:eastAsia="zh-CN"/>
        </w:rPr>
        <w:t>2022</w:t>
      </w:r>
      <w:r w:rsidRPr="007B49C6">
        <w:rPr>
          <w:rFonts w:hint="eastAsia"/>
          <w:lang w:eastAsia="zh-CN"/>
        </w:rPr>
        <w:t>年，</w:t>
      </w:r>
      <w:r>
        <w:rPr>
          <w:rFonts w:hint="eastAsia"/>
          <w:lang w:eastAsia="zh-CN"/>
        </w:rPr>
        <w:t>日内瓦</w:t>
      </w:r>
      <w:r w:rsidRPr="007B49C6">
        <w:rPr>
          <w:rFonts w:hint="eastAsia"/>
          <w:lang w:eastAsia="zh-CN"/>
        </w:rPr>
        <w:t>）</w:t>
      </w:r>
    </w:p>
    <w:p w14:paraId="1A413AA1" w14:textId="5D70F113" w:rsidR="00A4483C" w:rsidRPr="003F7F20" w:rsidRDefault="00C822D8" w:rsidP="00A4483C">
      <w:pPr>
        <w:pStyle w:val="Call"/>
        <w:rPr>
          <w:lang w:eastAsia="zh-CN"/>
        </w:rPr>
      </w:pPr>
      <w:r w:rsidRPr="003F7F20">
        <w:rPr>
          <w:rFonts w:hint="eastAsia"/>
          <w:lang w:eastAsia="zh-CN"/>
        </w:rPr>
        <w:t>考虑到</w:t>
      </w:r>
    </w:p>
    <w:p w14:paraId="5372F878" w14:textId="303DA59A" w:rsidR="00A4483C" w:rsidRDefault="00A4483C" w:rsidP="00A4483C">
      <w:pPr>
        <w:rPr>
          <w:lang w:eastAsia="zh-CN"/>
        </w:rPr>
      </w:pPr>
      <w:r w:rsidRPr="00031508">
        <w:rPr>
          <w:i/>
          <w:iCs/>
          <w:lang w:eastAsia="zh-CN"/>
        </w:rPr>
        <w:t>a)</w:t>
      </w:r>
      <w:r>
        <w:rPr>
          <w:lang w:eastAsia="zh-CN"/>
        </w:rPr>
        <w:tab/>
      </w:r>
      <w:r w:rsidR="003F2E35" w:rsidRPr="003F2E35">
        <w:rPr>
          <w:rFonts w:hint="eastAsia"/>
          <w:lang w:eastAsia="zh-CN"/>
        </w:rPr>
        <w:t>许多国家，甚至那些没有经历健康危机的国家，在积极参加国际电联电信标准化部门（</w:t>
      </w:r>
      <w:r w:rsidR="003F2E35" w:rsidRPr="003F2E35">
        <w:rPr>
          <w:rFonts w:hint="eastAsia"/>
          <w:lang w:eastAsia="zh-CN"/>
        </w:rPr>
        <w:t>ITU-T</w:t>
      </w:r>
      <w:r w:rsidR="003F2E35" w:rsidRPr="003F2E35">
        <w:rPr>
          <w:rFonts w:hint="eastAsia"/>
          <w:lang w:eastAsia="zh-CN"/>
        </w:rPr>
        <w:t>）</w:t>
      </w:r>
      <w:proofErr w:type="gramStart"/>
      <w:r w:rsidR="003F2E35" w:rsidRPr="003F2E35">
        <w:rPr>
          <w:rFonts w:hint="eastAsia"/>
          <w:lang w:eastAsia="zh-CN"/>
        </w:rPr>
        <w:t>的现场会议方面面临困难；</w:t>
      </w:r>
      <w:proofErr w:type="gramEnd"/>
    </w:p>
    <w:p w14:paraId="7CB30675" w14:textId="075DD7FC" w:rsidR="00A4483C" w:rsidRDefault="00A4483C" w:rsidP="00A4483C">
      <w:pPr>
        <w:rPr>
          <w:lang w:eastAsia="zh-CN"/>
        </w:rPr>
      </w:pPr>
      <w:r w:rsidRPr="00031508">
        <w:rPr>
          <w:i/>
          <w:iCs/>
          <w:lang w:eastAsia="zh-CN"/>
        </w:rPr>
        <w:t>b)</w:t>
      </w:r>
      <w:r>
        <w:rPr>
          <w:lang w:eastAsia="zh-CN"/>
        </w:rPr>
        <w:tab/>
      </w:r>
      <w:r w:rsidR="003F2E35" w:rsidRPr="003F2E35">
        <w:rPr>
          <w:rFonts w:hint="eastAsia"/>
          <w:lang w:eastAsia="zh-CN"/>
        </w:rPr>
        <w:t>这种困难对发展中国家</w:t>
      </w:r>
      <w:r w:rsidR="003F7F20">
        <w:rPr>
          <w:rStyle w:val="FootnoteReference"/>
        </w:rPr>
        <w:footnoteReference w:id="1"/>
      </w:r>
      <w:r w:rsidR="003F2E35" w:rsidRPr="003F2E35">
        <w:rPr>
          <w:rFonts w:hint="eastAsia"/>
          <w:lang w:eastAsia="zh-CN"/>
        </w:rPr>
        <w:t>的影响最为严重，</w:t>
      </w:r>
      <w:proofErr w:type="gramStart"/>
      <w:r w:rsidR="003F2E35" w:rsidRPr="003F2E35">
        <w:rPr>
          <w:rFonts w:hint="eastAsia"/>
          <w:lang w:eastAsia="zh-CN"/>
        </w:rPr>
        <w:t>限制了它们</w:t>
      </w:r>
      <w:r w:rsidR="003F7F20">
        <w:rPr>
          <w:rFonts w:hint="eastAsia"/>
          <w:lang w:eastAsia="zh-CN"/>
        </w:rPr>
        <w:t>现场</w:t>
      </w:r>
      <w:r w:rsidR="003F2E35" w:rsidRPr="003F2E35">
        <w:rPr>
          <w:rFonts w:hint="eastAsia"/>
          <w:lang w:eastAsia="zh-CN"/>
        </w:rPr>
        <w:t>参加各种会议</w:t>
      </w:r>
      <w:r w:rsidR="003F7F20">
        <w:rPr>
          <w:rFonts w:hint="eastAsia"/>
          <w:lang w:eastAsia="zh-CN"/>
        </w:rPr>
        <w:t>；</w:t>
      </w:r>
      <w:proofErr w:type="gramEnd"/>
    </w:p>
    <w:p w14:paraId="7B0BA1CC" w14:textId="52274FC4" w:rsidR="00A4483C" w:rsidRDefault="00A4483C" w:rsidP="00A4483C">
      <w:pPr>
        <w:rPr>
          <w:lang w:eastAsia="zh-CN"/>
        </w:rPr>
      </w:pPr>
      <w:r w:rsidRPr="00031508">
        <w:rPr>
          <w:i/>
          <w:iCs/>
          <w:lang w:eastAsia="zh-CN"/>
        </w:rPr>
        <w:t>c)</w:t>
      </w:r>
      <w:r>
        <w:rPr>
          <w:lang w:eastAsia="zh-CN"/>
        </w:rPr>
        <w:tab/>
      </w:r>
      <w:r w:rsidR="00F56434" w:rsidRPr="003F3F0B">
        <w:rPr>
          <w:rFonts w:cs="Calibri" w:hint="eastAsia"/>
          <w:lang w:eastAsia="zh-CN"/>
        </w:rPr>
        <w:t>第</w:t>
      </w:r>
      <w:r w:rsidR="00F56434">
        <w:rPr>
          <w:rFonts w:cs="Calibri"/>
          <w:lang w:eastAsia="zh-CN"/>
        </w:rPr>
        <w:t>64</w:t>
      </w:r>
      <w:r w:rsidR="00F56434" w:rsidRPr="003F3F0B">
        <w:rPr>
          <w:rFonts w:cs="Calibri" w:hint="eastAsia"/>
          <w:lang w:eastAsia="zh-CN"/>
        </w:rPr>
        <w:t>号决议（</w:t>
      </w:r>
      <w:r w:rsidR="00F56434" w:rsidRPr="003F3F0B">
        <w:rPr>
          <w:rFonts w:cs="Calibri"/>
          <w:lang w:eastAsia="zh-CN"/>
        </w:rPr>
        <w:t>2018</w:t>
      </w:r>
      <w:r w:rsidR="00F56434" w:rsidRPr="003F3F0B">
        <w:rPr>
          <w:rFonts w:cs="Calibri" w:hint="eastAsia"/>
          <w:lang w:eastAsia="zh-CN"/>
        </w:rPr>
        <w:t>年，迪拜，修订版）</w:t>
      </w:r>
      <w:r w:rsidR="003F7F20">
        <w:rPr>
          <w:rFonts w:cs="Calibri" w:hint="eastAsia"/>
          <w:lang w:eastAsia="zh-CN"/>
        </w:rPr>
        <w:t>涉及</w:t>
      </w:r>
      <w:r w:rsidR="00AE7C24" w:rsidRPr="00AE7C24">
        <w:rPr>
          <w:rFonts w:cs="Calibri"/>
          <w:lang w:eastAsia="zh-CN"/>
        </w:rPr>
        <w:t>不受歧视地获取现代电信</w:t>
      </w:r>
      <w:r w:rsidR="00AE7C24" w:rsidRPr="00AE7C24">
        <w:rPr>
          <w:rFonts w:cs="Calibri"/>
          <w:lang w:eastAsia="zh-CN"/>
        </w:rPr>
        <w:t>/</w:t>
      </w:r>
      <w:r w:rsidR="00AE7C24" w:rsidRPr="00AE7C24">
        <w:rPr>
          <w:rFonts w:cs="Calibri"/>
          <w:lang w:eastAsia="zh-CN"/>
        </w:rPr>
        <w:t>信息通信技术设施、服务和应用，其中包括电子会议、</w:t>
      </w:r>
      <w:proofErr w:type="gramStart"/>
      <w:r w:rsidR="00AE7C24" w:rsidRPr="00AE7C24">
        <w:rPr>
          <w:rFonts w:cs="Calibri"/>
          <w:lang w:eastAsia="zh-CN"/>
        </w:rPr>
        <w:t>应用研究与根据相互约定的条件进行技术转</w:t>
      </w:r>
      <w:r w:rsidR="00AE7C24" w:rsidRPr="00AE7C24">
        <w:rPr>
          <w:rFonts w:cs="Calibri" w:hint="eastAsia"/>
          <w:lang w:eastAsia="zh-CN"/>
        </w:rPr>
        <w:t>让</w:t>
      </w:r>
      <w:r w:rsidR="003F7F20">
        <w:rPr>
          <w:rFonts w:cs="Calibri" w:hint="eastAsia"/>
          <w:lang w:eastAsia="zh-CN"/>
        </w:rPr>
        <w:t>；</w:t>
      </w:r>
      <w:proofErr w:type="gramEnd"/>
    </w:p>
    <w:p w14:paraId="084B1383" w14:textId="5274A3A6" w:rsidR="00A4483C" w:rsidRDefault="00A4483C" w:rsidP="00A4483C">
      <w:pPr>
        <w:rPr>
          <w:lang w:eastAsia="zh-CN"/>
        </w:rPr>
      </w:pPr>
      <w:r w:rsidRPr="00031508">
        <w:rPr>
          <w:i/>
          <w:iCs/>
          <w:lang w:eastAsia="zh-CN"/>
        </w:rPr>
        <w:t>d)</w:t>
      </w:r>
      <w:r>
        <w:rPr>
          <w:lang w:eastAsia="zh-CN"/>
        </w:rPr>
        <w:tab/>
      </w:r>
      <w:r w:rsidR="003F3F0B" w:rsidRPr="007B49C6">
        <w:rPr>
          <w:rFonts w:hint="eastAsia"/>
          <w:lang w:eastAsia="zh-CN"/>
        </w:rPr>
        <w:t>第</w:t>
      </w:r>
      <w:r w:rsidR="003F3F0B" w:rsidRPr="007B49C6">
        <w:rPr>
          <w:lang w:eastAsia="zh-CN"/>
        </w:rPr>
        <w:t>123</w:t>
      </w:r>
      <w:r w:rsidR="003F3F0B" w:rsidRPr="007B49C6">
        <w:rPr>
          <w:rFonts w:hint="eastAsia"/>
          <w:lang w:eastAsia="zh-CN"/>
        </w:rPr>
        <w:t>号决议（</w:t>
      </w:r>
      <w:r w:rsidR="003F3F0B" w:rsidRPr="007B49C6">
        <w:rPr>
          <w:rFonts w:hint="eastAsia"/>
          <w:lang w:eastAsia="zh-CN"/>
        </w:rPr>
        <w:t>2018</w:t>
      </w:r>
      <w:r w:rsidR="003F3F0B" w:rsidRPr="007B49C6">
        <w:rPr>
          <w:rFonts w:hint="eastAsia"/>
          <w:lang w:eastAsia="zh-CN"/>
        </w:rPr>
        <w:t>年，迪拜，修订版）</w:t>
      </w:r>
      <w:proofErr w:type="gramStart"/>
      <w:r w:rsidR="003F7F20">
        <w:rPr>
          <w:rFonts w:cs="Calibri" w:hint="eastAsia"/>
          <w:lang w:eastAsia="zh-CN"/>
        </w:rPr>
        <w:t>涉及</w:t>
      </w:r>
      <w:r w:rsidR="00B42DB6" w:rsidRPr="007B49C6">
        <w:rPr>
          <w:rFonts w:hint="eastAsia"/>
          <w:lang w:eastAsia="zh-CN"/>
        </w:rPr>
        <w:t>缩小发展中国家</w:t>
      </w:r>
      <w:r w:rsidR="00B42DB6">
        <w:rPr>
          <w:rFonts w:hint="eastAsia"/>
          <w:lang w:eastAsia="zh-CN"/>
        </w:rPr>
        <w:t>与</w:t>
      </w:r>
      <w:r w:rsidR="00B42DB6" w:rsidRPr="007B49C6">
        <w:rPr>
          <w:rFonts w:hint="eastAsia"/>
          <w:lang w:eastAsia="zh-CN"/>
        </w:rPr>
        <w:t>发达国家之间</w:t>
      </w:r>
      <w:r w:rsidR="00282E29">
        <w:rPr>
          <w:rFonts w:hint="eastAsia"/>
          <w:lang w:eastAsia="zh-CN"/>
        </w:rPr>
        <w:t>的</w:t>
      </w:r>
      <w:r w:rsidR="00B42DB6" w:rsidRPr="007B49C6">
        <w:rPr>
          <w:rFonts w:hint="eastAsia"/>
          <w:lang w:eastAsia="zh-CN"/>
        </w:rPr>
        <w:t>标准化工作差距</w:t>
      </w:r>
      <w:r w:rsidR="00B42DB6" w:rsidRPr="00B42DB6">
        <w:rPr>
          <w:rFonts w:hint="eastAsia"/>
          <w:lang w:eastAsia="zh-CN"/>
        </w:rPr>
        <w:t>；</w:t>
      </w:r>
      <w:proofErr w:type="gramEnd"/>
    </w:p>
    <w:p w14:paraId="43383A91" w14:textId="13B1FE50" w:rsidR="00A4483C" w:rsidRDefault="00A4483C" w:rsidP="00A4483C">
      <w:pPr>
        <w:rPr>
          <w:lang w:eastAsia="zh-CN"/>
        </w:rPr>
      </w:pPr>
      <w:r w:rsidRPr="00031508">
        <w:rPr>
          <w:i/>
          <w:iCs/>
          <w:lang w:eastAsia="zh-CN"/>
        </w:rPr>
        <w:t>e)</w:t>
      </w:r>
      <w:r>
        <w:rPr>
          <w:lang w:eastAsia="zh-CN"/>
        </w:rPr>
        <w:tab/>
      </w:r>
      <w:r w:rsidR="003F3F0B" w:rsidRPr="003F3F0B">
        <w:rPr>
          <w:rFonts w:cs="Calibri" w:hint="eastAsia"/>
          <w:lang w:eastAsia="zh-CN"/>
        </w:rPr>
        <w:t>第</w:t>
      </w:r>
      <w:r w:rsidR="003F3F0B" w:rsidRPr="003F3F0B">
        <w:rPr>
          <w:rFonts w:cs="Calibri"/>
          <w:lang w:eastAsia="zh-CN"/>
        </w:rPr>
        <w:t>167</w:t>
      </w:r>
      <w:r w:rsidR="003F3F0B" w:rsidRPr="003F3F0B">
        <w:rPr>
          <w:rFonts w:cs="Calibri" w:hint="eastAsia"/>
          <w:lang w:eastAsia="zh-CN"/>
        </w:rPr>
        <w:t>号决议（</w:t>
      </w:r>
      <w:r w:rsidR="003F3F0B" w:rsidRPr="003F3F0B">
        <w:rPr>
          <w:rFonts w:cs="Calibri"/>
          <w:lang w:eastAsia="zh-CN"/>
        </w:rPr>
        <w:t>2018</w:t>
      </w:r>
      <w:r w:rsidR="003F3F0B" w:rsidRPr="003F3F0B">
        <w:rPr>
          <w:rFonts w:cs="Calibri" w:hint="eastAsia"/>
          <w:lang w:eastAsia="zh-CN"/>
        </w:rPr>
        <w:t>年，迪拜，修订版）</w:t>
      </w:r>
      <w:r w:rsidR="003F7F20">
        <w:rPr>
          <w:rFonts w:cs="Calibri" w:hint="eastAsia"/>
          <w:lang w:eastAsia="zh-CN"/>
        </w:rPr>
        <w:t>涉及</w:t>
      </w:r>
      <w:r w:rsidR="003F3F0B" w:rsidRPr="003F3F0B">
        <w:rPr>
          <w:rFonts w:cs="Calibri" w:hint="eastAsia"/>
          <w:lang w:eastAsia="zh-CN"/>
        </w:rPr>
        <w:t>加强和发展国际电联举办电子化会议的能力以及推进国际电联工作的手段</w:t>
      </w:r>
      <w:r w:rsidR="00AE2EBC" w:rsidRPr="003F3F0B">
        <w:rPr>
          <w:rFonts w:cs="Calibri" w:hint="eastAsia"/>
          <w:lang w:eastAsia="zh-CN"/>
        </w:rPr>
        <w:t>，</w:t>
      </w:r>
    </w:p>
    <w:p w14:paraId="5F2BAC6F" w14:textId="14E84C6B" w:rsidR="00A4483C" w:rsidRPr="003F7F20" w:rsidRDefault="003F7F20" w:rsidP="00A4483C">
      <w:pPr>
        <w:pStyle w:val="Call"/>
        <w:rPr>
          <w:lang w:eastAsia="zh-CN"/>
        </w:rPr>
      </w:pPr>
      <w:r w:rsidRPr="003F7F20">
        <w:rPr>
          <w:rFonts w:hint="eastAsia"/>
          <w:lang w:eastAsia="zh-CN"/>
        </w:rPr>
        <w:t>注意到</w:t>
      </w:r>
    </w:p>
    <w:p w14:paraId="2982FD69" w14:textId="5C404567" w:rsidR="00A4483C" w:rsidRDefault="00A4483C" w:rsidP="00A4483C">
      <w:pPr>
        <w:rPr>
          <w:lang w:eastAsia="zh-CN"/>
        </w:rPr>
      </w:pPr>
      <w:r w:rsidRPr="009B35C0">
        <w:rPr>
          <w:i/>
          <w:iCs/>
          <w:lang w:eastAsia="zh-CN"/>
        </w:rPr>
        <w:t>a)</w:t>
      </w:r>
      <w:r>
        <w:rPr>
          <w:lang w:eastAsia="zh-CN"/>
        </w:rPr>
        <w:tab/>
      </w:r>
      <w:r w:rsidR="003F2E35" w:rsidRPr="003F2E35">
        <w:rPr>
          <w:rFonts w:hint="eastAsia"/>
          <w:lang w:eastAsia="zh-CN"/>
        </w:rPr>
        <w:t>由于</w:t>
      </w:r>
      <w:r w:rsidR="003F7F20">
        <w:rPr>
          <w:rFonts w:hint="eastAsia"/>
          <w:lang w:eastAsia="zh-CN"/>
        </w:rPr>
        <w:t>新冠疫情</w:t>
      </w:r>
      <w:r w:rsidR="003F2E35" w:rsidRPr="003F2E35">
        <w:rPr>
          <w:rFonts w:hint="eastAsia"/>
          <w:lang w:eastAsia="zh-CN"/>
        </w:rPr>
        <w:t>，国际电联使用的现有电子工作方法</w:t>
      </w:r>
      <w:r w:rsidR="003F7F20">
        <w:rPr>
          <w:rFonts w:hint="eastAsia"/>
          <w:lang w:eastAsia="zh-CN"/>
        </w:rPr>
        <w:t>（</w:t>
      </w:r>
      <w:r w:rsidR="003F2E35" w:rsidRPr="003F2E35">
        <w:rPr>
          <w:rFonts w:hint="eastAsia"/>
          <w:lang w:eastAsia="zh-CN"/>
        </w:rPr>
        <w:t>EWM</w:t>
      </w:r>
      <w:r w:rsidR="003F7F20">
        <w:rPr>
          <w:rFonts w:hint="eastAsia"/>
          <w:lang w:eastAsia="zh-CN"/>
        </w:rPr>
        <w:t>）</w:t>
      </w:r>
      <w:proofErr w:type="gramStart"/>
      <w:r w:rsidR="003F2E35" w:rsidRPr="003F2E35">
        <w:rPr>
          <w:rFonts w:hint="eastAsia"/>
          <w:lang w:eastAsia="zh-CN"/>
        </w:rPr>
        <w:t>已得到转变和加强；</w:t>
      </w:r>
      <w:proofErr w:type="gramEnd"/>
    </w:p>
    <w:p w14:paraId="21406BE1" w14:textId="4BD15865" w:rsidR="00A4483C" w:rsidRDefault="00A4483C" w:rsidP="00A4483C">
      <w:pPr>
        <w:rPr>
          <w:lang w:eastAsia="zh-CN"/>
        </w:rPr>
      </w:pPr>
      <w:r w:rsidRPr="009B35C0">
        <w:rPr>
          <w:i/>
          <w:iCs/>
          <w:lang w:eastAsia="zh-CN"/>
        </w:rPr>
        <w:t>b)</w:t>
      </w:r>
      <w:r>
        <w:rPr>
          <w:lang w:eastAsia="zh-CN"/>
        </w:rPr>
        <w:tab/>
      </w:r>
      <w:r w:rsidR="003F2E35" w:rsidRPr="003F2E35">
        <w:rPr>
          <w:rFonts w:hint="eastAsia"/>
          <w:lang w:eastAsia="zh-CN"/>
        </w:rPr>
        <w:t>全球突发卫生事件</w:t>
      </w:r>
      <w:r w:rsidR="00592E66">
        <w:rPr>
          <w:rFonts w:hint="eastAsia"/>
          <w:lang w:eastAsia="zh-CN"/>
        </w:rPr>
        <w:t>推动</w:t>
      </w:r>
      <w:r w:rsidR="003F2E35" w:rsidRPr="003F2E35">
        <w:rPr>
          <w:rFonts w:hint="eastAsia"/>
          <w:lang w:eastAsia="zh-CN"/>
        </w:rPr>
        <w:t>了通过现有技术平台使用</w:t>
      </w:r>
      <w:r w:rsidR="00592E66">
        <w:rPr>
          <w:rFonts w:hint="eastAsia"/>
          <w:lang w:eastAsia="zh-CN"/>
        </w:rPr>
        <w:t>电子工作方法</w:t>
      </w:r>
      <w:r w:rsidR="003F2E35" w:rsidRPr="003F2E35">
        <w:rPr>
          <w:rFonts w:hint="eastAsia"/>
          <w:lang w:eastAsia="zh-CN"/>
        </w:rPr>
        <w:t>，</w:t>
      </w:r>
      <w:proofErr w:type="gramStart"/>
      <w:r w:rsidR="003F2E35" w:rsidRPr="003F2E35">
        <w:rPr>
          <w:rFonts w:hint="eastAsia"/>
          <w:lang w:eastAsia="zh-CN"/>
        </w:rPr>
        <w:t>并</w:t>
      </w:r>
      <w:r w:rsidR="00592E66">
        <w:rPr>
          <w:rFonts w:hint="eastAsia"/>
          <w:lang w:eastAsia="zh-CN"/>
        </w:rPr>
        <w:t>实现</w:t>
      </w:r>
      <w:r w:rsidR="003F2E35" w:rsidRPr="003F2E35">
        <w:rPr>
          <w:rFonts w:hint="eastAsia"/>
          <w:lang w:eastAsia="zh-CN"/>
        </w:rPr>
        <w:t>了预期</w:t>
      </w:r>
      <w:r w:rsidR="00592E66">
        <w:rPr>
          <w:rFonts w:hint="eastAsia"/>
          <w:lang w:eastAsia="zh-CN"/>
        </w:rPr>
        <w:t>的</w:t>
      </w:r>
      <w:r w:rsidR="003F2E35" w:rsidRPr="003F2E35">
        <w:rPr>
          <w:rFonts w:hint="eastAsia"/>
          <w:lang w:eastAsia="zh-CN"/>
        </w:rPr>
        <w:t>结果；</w:t>
      </w:r>
      <w:proofErr w:type="gramEnd"/>
    </w:p>
    <w:p w14:paraId="3F775C32" w14:textId="18D19CCB" w:rsidR="00A4483C" w:rsidRDefault="00A4483C" w:rsidP="00A4483C">
      <w:pPr>
        <w:rPr>
          <w:lang w:eastAsia="zh-CN"/>
        </w:rPr>
      </w:pPr>
      <w:r w:rsidRPr="009B35C0">
        <w:rPr>
          <w:i/>
          <w:iCs/>
          <w:lang w:eastAsia="zh-CN"/>
        </w:rPr>
        <w:t>c)</w:t>
      </w:r>
      <w:r>
        <w:rPr>
          <w:lang w:eastAsia="zh-CN"/>
        </w:rPr>
        <w:tab/>
      </w:r>
      <w:r w:rsidR="003F2E35" w:rsidRPr="003F2E35">
        <w:rPr>
          <w:rFonts w:hint="eastAsia"/>
          <w:lang w:eastAsia="zh-CN"/>
        </w:rPr>
        <w:t>在正常情况下，</w:t>
      </w:r>
      <w:proofErr w:type="gramStart"/>
      <w:r w:rsidR="003F2E35" w:rsidRPr="003F2E35">
        <w:rPr>
          <w:rFonts w:hint="eastAsia"/>
          <w:lang w:eastAsia="zh-CN"/>
        </w:rPr>
        <w:t>必须在各研究组的会议和该部门的活动中优化对国际电联</w:t>
      </w:r>
      <w:r w:rsidR="00592E66">
        <w:rPr>
          <w:rFonts w:hint="eastAsia"/>
          <w:lang w:eastAsia="zh-CN"/>
        </w:rPr>
        <w:t>所采用</w:t>
      </w:r>
      <w:r w:rsidR="003F2E35" w:rsidRPr="003F2E35">
        <w:rPr>
          <w:rFonts w:hint="eastAsia"/>
          <w:lang w:eastAsia="zh-CN"/>
        </w:rPr>
        <w:t>工具的使用；</w:t>
      </w:r>
      <w:proofErr w:type="gramEnd"/>
    </w:p>
    <w:p w14:paraId="6118D29D" w14:textId="1EE0E9D2" w:rsidR="00A4483C" w:rsidRDefault="00A4483C" w:rsidP="00A4483C">
      <w:pPr>
        <w:rPr>
          <w:lang w:eastAsia="zh-CN"/>
        </w:rPr>
      </w:pPr>
      <w:r w:rsidRPr="009B35C0">
        <w:rPr>
          <w:i/>
          <w:iCs/>
          <w:lang w:eastAsia="zh-CN"/>
        </w:rPr>
        <w:t>d)</w:t>
      </w:r>
      <w:r>
        <w:rPr>
          <w:lang w:eastAsia="zh-CN"/>
        </w:rPr>
        <w:tab/>
      </w:r>
      <w:r w:rsidR="00CB0525">
        <w:rPr>
          <w:rFonts w:hint="eastAsia"/>
          <w:lang w:eastAsia="zh-CN"/>
        </w:rPr>
        <w:t>以</w:t>
      </w:r>
      <w:r w:rsidR="00CB0525" w:rsidRPr="00CB0525">
        <w:rPr>
          <w:rFonts w:hint="eastAsia"/>
          <w:lang w:eastAsia="zh-CN"/>
        </w:rPr>
        <w:t>虚拟</w:t>
      </w:r>
      <w:r w:rsidR="00CB0525">
        <w:rPr>
          <w:rFonts w:hint="eastAsia"/>
          <w:lang w:eastAsia="zh-CN"/>
        </w:rPr>
        <w:t>方式参加</w:t>
      </w:r>
      <w:r w:rsidR="00CB0525" w:rsidRPr="00CB0525">
        <w:rPr>
          <w:rFonts w:hint="eastAsia"/>
          <w:lang w:eastAsia="zh-CN"/>
        </w:rPr>
        <w:t>活动使成员有机会</w:t>
      </w:r>
      <w:r w:rsidR="007512AB" w:rsidRPr="00E04A5F">
        <w:rPr>
          <w:rFonts w:hint="eastAsia"/>
          <w:lang w:eastAsia="zh-CN"/>
        </w:rPr>
        <w:t>更多地以电子</w:t>
      </w:r>
      <w:r w:rsidR="007512AB">
        <w:rPr>
          <w:rFonts w:hint="eastAsia"/>
          <w:lang w:eastAsia="zh-CN"/>
        </w:rPr>
        <w:t>方</w:t>
      </w:r>
      <w:r w:rsidR="007512AB" w:rsidRPr="00E04A5F">
        <w:rPr>
          <w:rFonts w:hint="eastAsia"/>
          <w:lang w:eastAsia="zh-CN"/>
        </w:rPr>
        <w:t>式</w:t>
      </w:r>
      <w:r w:rsidR="00CB0525">
        <w:rPr>
          <w:rFonts w:hint="eastAsia"/>
          <w:lang w:eastAsia="zh-CN"/>
        </w:rPr>
        <w:t>参与</w:t>
      </w:r>
      <w:r w:rsidR="007512AB" w:rsidRPr="00E04A5F">
        <w:rPr>
          <w:rFonts w:hint="eastAsia"/>
          <w:lang w:eastAsia="zh-CN"/>
        </w:rPr>
        <w:t>建议书的</w:t>
      </w:r>
      <w:r w:rsidR="00CB0525">
        <w:rPr>
          <w:rFonts w:hint="eastAsia"/>
          <w:lang w:eastAsia="zh-CN"/>
        </w:rPr>
        <w:t>起草</w:t>
      </w:r>
      <w:r w:rsidR="007512AB" w:rsidRPr="00E04A5F">
        <w:rPr>
          <w:rFonts w:hint="eastAsia"/>
          <w:lang w:eastAsia="zh-CN"/>
        </w:rPr>
        <w:t>和批准工作，</w:t>
      </w:r>
      <w:r w:rsidR="00CB0525">
        <w:rPr>
          <w:rFonts w:hint="eastAsia"/>
          <w:lang w:eastAsia="zh-CN"/>
        </w:rPr>
        <w:t>特别是那些难以亲身</w:t>
      </w:r>
      <w:r w:rsidR="007512AB" w:rsidRPr="00E04A5F">
        <w:rPr>
          <w:rFonts w:hint="eastAsia"/>
          <w:lang w:eastAsia="zh-CN"/>
        </w:rPr>
        <w:t>参加研究组会议</w:t>
      </w:r>
      <w:r w:rsidR="00CB0525">
        <w:rPr>
          <w:rFonts w:hint="eastAsia"/>
          <w:lang w:eastAsia="zh-CN"/>
        </w:rPr>
        <w:t>和该部门其他活动</w:t>
      </w:r>
      <w:r w:rsidR="007512AB" w:rsidRPr="00E04A5F">
        <w:rPr>
          <w:rFonts w:hint="eastAsia"/>
          <w:lang w:eastAsia="zh-CN"/>
        </w:rPr>
        <w:t>的成员</w:t>
      </w:r>
      <w:r w:rsidR="007512AB" w:rsidRPr="003F3F0B">
        <w:rPr>
          <w:rFonts w:cs="Calibri" w:hint="eastAsia"/>
          <w:lang w:eastAsia="zh-CN"/>
        </w:rPr>
        <w:t>，</w:t>
      </w:r>
    </w:p>
    <w:p w14:paraId="1054B2D2" w14:textId="3C47626E" w:rsidR="00A4483C" w:rsidRPr="00CB0525" w:rsidRDefault="00CB0525" w:rsidP="00A4483C">
      <w:pPr>
        <w:pStyle w:val="Call"/>
        <w:rPr>
          <w:lang w:eastAsia="zh-CN"/>
        </w:rPr>
      </w:pPr>
      <w:r w:rsidRPr="00CB0525">
        <w:rPr>
          <w:rFonts w:hint="eastAsia"/>
          <w:lang w:eastAsia="zh-CN"/>
        </w:rPr>
        <w:t>进一步考虑到</w:t>
      </w:r>
    </w:p>
    <w:p w14:paraId="1C5CD757" w14:textId="436FDEBA" w:rsidR="00A4483C" w:rsidRDefault="003F2E35" w:rsidP="0012442F">
      <w:pPr>
        <w:ind w:firstLineChars="200" w:firstLine="480"/>
        <w:rPr>
          <w:lang w:eastAsia="zh-CN"/>
        </w:rPr>
      </w:pPr>
      <w:r w:rsidRPr="003F2E35">
        <w:rPr>
          <w:rFonts w:hint="eastAsia"/>
          <w:lang w:eastAsia="zh-CN"/>
        </w:rPr>
        <w:t>无论是虚拟会议还是</w:t>
      </w:r>
      <w:r w:rsidR="00CB0525">
        <w:rPr>
          <w:rFonts w:hint="eastAsia"/>
          <w:lang w:val="en-US" w:eastAsia="zh-CN"/>
        </w:rPr>
        <w:t>现场</w:t>
      </w:r>
      <w:r w:rsidRPr="003F2E35">
        <w:rPr>
          <w:rFonts w:hint="eastAsia"/>
          <w:lang w:eastAsia="zh-CN"/>
        </w:rPr>
        <w:t>会议，都应始终提供虚拟参</w:t>
      </w:r>
      <w:r w:rsidR="00CB0525">
        <w:rPr>
          <w:rFonts w:hint="eastAsia"/>
          <w:lang w:eastAsia="zh-CN"/>
        </w:rPr>
        <w:t>会</w:t>
      </w:r>
      <w:r w:rsidRPr="003F2E35">
        <w:rPr>
          <w:rFonts w:hint="eastAsia"/>
          <w:lang w:eastAsia="zh-CN"/>
        </w:rPr>
        <w:t>工具并保持最新状态</w:t>
      </w:r>
      <w:r w:rsidR="00CB0525">
        <w:rPr>
          <w:rFonts w:hint="eastAsia"/>
          <w:lang w:eastAsia="zh-CN"/>
        </w:rPr>
        <w:t>，</w:t>
      </w:r>
    </w:p>
    <w:p w14:paraId="30BDEF29" w14:textId="4196080B" w:rsidR="00A4483C" w:rsidRPr="00CB0525" w:rsidRDefault="00CB0525" w:rsidP="00A4483C">
      <w:pPr>
        <w:pStyle w:val="Call"/>
        <w:rPr>
          <w:lang w:eastAsia="zh-CN"/>
        </w:rPr>
      </w:pPr>
      <w:r w:rsidRPr="00CB0525">
        <w:rPr>
          <w:rFonts w:hint="eastAsia"/>
          <w:lang w:eastAsia="zh-CN"/>
        </w:rPr>
        <w:t>做出决议</w:t>
      </w:r>
    </w:p>
    <w:p w14:paraId="018CC779" w14:textId="76A35AF4" w:rsidR="00A4483C" w:rsidRDefault="00A4483C" w:rsidP="0012442F">
      <w:pPr>
        <w:rPr>
          <w:lang w:eastAsia="zh-CN"/>
        </w:rPr>
      </w:pPr>
      <w:r>
        <w:rPr>
          <w:lang w:eastAsia="zh-CN"/>
        </w:rPr>
        <w:t>1</w:t>
      </w:r>
      <w:r>
        <w:rPr>
          <w:lang w:eastAsia="zh-CN"/>
        </w:rPr>
        <w:tab/>
      </w:r>
      <w:r w:rsidR="003F2E35" w:rsidRPr="003F2E35">
        <w:rPr>
          <w:rFonts w:hint="eastAsia"/>
          <w:lang w:eastAsia="zh-CN"/>
        </w:rPr>
        <w:t>应采取</w:t>
      </w:r>
      <w:r w:rsidR="00DD2BF5" w:rsidRPr="003F2E35">
        <w:rPr>
          <w:rFonts w:hint="eastAsia"/>
          <w:lang w:eastAsia="zh-CN"/>
        </w:rPr>
        <w:t>必要</w:t>
      </w:r>
      <w:r w:rsidR="00DD2BF5">
        <w:rPr>
          <w:rFonts w:hint="eastAsia"/>
          <w:lang w:eastAsia="zh-CN"/>
        </w:rPr>
        <w:t>的</w:t>
      </w:r>
      <w:r w:rsidR="003F2E35" w:rsidRPr="003F2E35">
        <w:rPr>
          <w:rFonts w:hint="eastAsia"/>
          <w:lang w:eastAsia="zh-CN"/>
        </w:rPr>
        <w:t>电子工作方法措施，以确保在</w:t>
      </w:r>
      <w:r w:rsidR="00DD2BF5">
        <w:rPr>
          <w:rFonts w:hint="eastAsia"/>
          <w:lang w:eastAsia="zh-CN"/>
        </w:rPr>
        <w:t>现场</w:t>
      </w:r>
      <w:r w:rsidR="003F2E35" w:rsidRPr="003F2E35">
        <w:rPr>
          <w:rFonts w:hint="eastAsia"/>
          <w:lang w:eastAsia="zh-CN"/>
        </w:rPr>
        <w:t>参与方面</w:t>
      </w:r>
      <w:r w:rsidR="00DD2BF5">
        <w:rPr>
          <w:rFonts w:hint="eastAsia"/>
          <w:lang w:eastAsia="zh-CN"/>
        </w:rPr>
        <w:t>向</w:t>
      </w:r>
      <w:r w:rsidR="00DD2BF5" w:rsidRPr="003F2E35">
        <w:rPr>
          <w:rFonts w:hint="eastAsia"/>
          <w:lang w:eastAsia="zh-CN"/>
        </w:rPr>
        <w:t>ITU-T</w:t>
      </w:r>
      <w:r w:rsidR="00DD2BF5" w:rsidRPr="003F2E35">
        <w:rPr>
          <w:rFonts w:hint="eastAsia"/>
          <w:lang w:eastAsia="zh-CN"/>
        </w:rPr>
        <w:t>成员</w:t>
      </w:r>
      <w:r w:rsidR="00DD2BF5">
        <w:rPr>
          <w:rFonts w:hint="eastAsia"/>
          <w:lang w:eastAsia="zh-CN"/>
        </w:rPr>
        <w:t>同等</w:t>
      </w:r>
      <w:r w:rsidR="003F2E35" w:rsidRPr="003F2E35">
        <w:rPr>
          <w:rFonts w:hint="eastAsia"/>
          <w:lang w:eastAsia="zh-CN"/>
        </w:rPr>
        <w:t>地提供虚拟</w:t>
      </w:r>
      <w:r w:rsidR="003F2E35" w:rsidRPr="003F2E35">
        <w:rPr>
          <w:rFonts w:hint="eastAsia"/>
          <w:lang w:eastAsia="zh-CN"/>
        </w:rPr>
        <w:t>/</w:t>
      </w:r>
      <w:r w:rsidR="003F2E35" w:rsidRPr="003F2E35">
        <w:rPr>
          <w:rFonts w:hint="eastAsia"/>
          <w:lang w:eastAsia="zh-CN"/>
        </w:rPr>
        <w:t>远程访问所有工作活动的机会，包括（应要求并在可能的情况下）</w:t>
      </w:r>
      <w:proofErr w:type="gramStart"/>
      <w:r w:rsidR="003F2E35" w:rsidRPr="003F2E35">
        <w:rPr>
          <w:rFonts w:hint="eastAsia"/>
          <w:lang w:eastAsia="zh-CN"/>
        </w:rPr>
        <w:t>国际电联六种</w:t>
      </w:r>
      <w:r w:rsidR="00DD2BF5">
        <w:rPr>
          <w:rFonts w:hint="eastAsia"/>
          <w:lang w:eastAsia="zh-CN"/>
        </w:rPr>
        <w:t>正式语文</w:t>
      </w:r>
      <w:r w:rsidR="00282E29">
        <w:rPr>
          <w:rFonts w:hint="eastAsia"/>
          <w:lang w:eastAsia="zh-CN"/>
        </w:rPr>
        <w:t>的口译服务</w:t>
      </w:r>
      <w:r w:rsidR="003F2E35" w:rsidRPr="003F2E35">
        <w:rPr>
          <w:rFonts w:hint="eastAsia"/>
          <w:lang w:eastAsia="zh-CN"/>
        </w:rPr>
        <w:t>；</w:t>
      </w:r>
      <w:proofErr w:type="gramEnd"/>
    </w:p>
    <w:p w14:paraId="10CD1CB1" w14:textId="055CA612" w:rsidR="00A4483C" w:rsidRDefault="00A4483C" w:rsidP="0012442F">
      <w:pPr>
        <w:rPr>
          <w:lang w:eastAsia="zh-CN"/>
        </w:rPr>
      </w:pPr>
      <w:r>
        <w:rPr>
          <w:lang w:eastAsia="zh-CN"/>
        </w:rPr>
        <w:lastRenderedPageBreak/>
        <w:t>2</w:t>
      </w:r>
      <w:r>
        <w:rPr>
          <w:lang w:eastAsia="zh-CN"/>
        </w:rPr>
        <w:tab/>
      </w:r>
      <w:r w:rsidR="003F2E35" w:rsidRPr="003F2E35">
        <w:rPr>
          <w:rFonts w:hint="eastAsia"/>
          <w:lang w:eastAsia="zh-CN"/>
        </w:rPr>
        <w:t>通过电子方法开展的工作活动应视为</w:t>
      </w:r>
      <w:r w:rsidR="00A1541A">
        <w:rPr>
          <w:rFonts w:hint="eastAsia"/>
          <w:lang w:eastAsia="zh-CN"/>
        </w:rPr>
        <w:t>与</w:t>
      </w:r>
      <w:r w:rsidR="00A1541A" w:rsidRPr="003F2E35">
        <w:rPr>
          <w:rFonts w:hint="eastAsia"/>
          <w:lang w:eastAsia="zh-CN"/>
        </w:rPr>
        <w:t>ITU-T</w:t>
      </w:r>
      <w:r w:rsidR="00A1541A">
        <w:rPr>
          <w:rFonts w:hint="eastAsia"/>
          <w:lang w:eastAsia="zh-CN"/>
        </w:rPr>
        <w:t>采用</w:t>
      </w:r>
      <w:r w:rsidR="00A1541A">
        <w:rPr>
          <w:rFonts w:hint="eastAsia"/>
          <w:lang w:val="en-US" w:eastAsia="zh-CN"/>
        </w:rPr>
        <w:t>现场</w:t>
      </w:r>
      <w:r w:rsidR="00A1541A" w:rsidRPr="003F2E35">
        <w:rPr>
          <w:rFonts w:hint="eastAsia"/>
          <w:lang w:eastAsia="zh-CN"/>
        </w:rPr>
        <w:t>工作方法</w:t>
      </w:r>
      <w:r w:rsidR="00A1541A">
        <w:rPr>
          <w:rFonts w:hint="eastAsia"/>
          <w:lang w:eastAsia="zh-CN"/>
        </w:rPr>
        <w:t>开展的工作活动同等、同时并</w:t>
      </w:r>
      <w:r w:rsidR="003F2E35" w:rsidRPr="003F2E35">
        <w:rPr>
          <w:rFonts w:hint="eastAsia"/>
          <w:lang w:eastAsia="zh-CN"/>
        </w:rPr>
        <w:t>完全</w:t>
      </w:r>
      <w:r w:rsidR="00A1541A">
        <w:rPr>
          <w:rFonts w:hint="eastAsia"/>
          <w:lang w:eastAsia="zh-CN"/>
        </w:rPr>
        <w:t>融合，</w:t>
      </w:r>
    </w:p>
    <w:p w14:paraId="27D25A77" w14:textId="4171F44C" w:rsidR="00A4483C" w:rsidRPr="005B2CFB" w:rsidRDefault="005B2CFB" w:rsidP="00A4483C">
      <w:pPr>
        <w:pStyle w:val="Call"/>
        <w:rPr>
          <w:lang w:eastAsia="zh-CN"/>
        </w:rPr>
      </w:pPr>
      <w:r w:rsidRPr="005B2CFB">
        <w:rPr>
          <w:rFonts w:hint="eastAsia"/>
          <w:lang w:eastAsia="zh-CN"/>
        </w:rPr>
        <w:t>责成</w:t>
      </w:r>
    </w:p>
    <w:p w14:paraId="4BE553FE" w14:textId="627049D8" w:rsidR="00A4483C" w:rsidRDefault="00A4483C" w:rsidP="00A4483C">
      <w:pPr>
        <w:rPr>
          <w:lang w:eastAsia="zh-CN"/>
        </w:rPr>
      </w:pPr>
      <w:r>
        <w:rPr>
          <w:lang w:eastAsia="zh-CN"/>
        </w:rPr>
        <w:t>1</w:t>
      </w:r>
      <w:r>
        <w:rPr>
          <w:lang w:eastAsia="zh-CN"/>
        </w:rPr>
        <w:tab/>
      </w:r>
      <w:r w:rsidR="003F2E35" w:rsidRPr="003F2E35">
        <w:rPr>
          <w:rFonts w:hint="eastAsia"/>
          <w:lang w:eastAsia="zh-CN"/>
        </w:rPr>
        <w:t>电信标准化局（</w:t>
      </w:r>
      <w:r w:rsidR="003F2E35" w:rsidRPr="003F2E35">
        <w:rPr>
          <w:rFonts w:hint="eastAsia"/>
          <w:lang w:eastAsia="zh-CN"/>
        </w:rPr>
        <w:t>TSB</w:t>
      </w:r>
      <w:r w:rsidR="003F2E35" w:rsidRPr="003F2E35">
        <w:rPr>
          <w:rFonts w:hint="eastAsia"/>
          <w:lang w:eastAsia="zh-CN"/>
        </w:rPr>
        <w:t>）主任：</w:t>
      </w:r>
    </w:p>
    <w:p w14:paraId="37D427C7" w14:textId="796C588E" w:rsidR="00A4483C" w:rsidRDefault="00A4483C" w:rsidP="00A4483C">
      <w:pPr>
        <w:pStyle w:val="enumlev1"/>
        <w:rPr>
          <w:lang w:eastAsia="zh-CN"/>
        </w:rPr>
      </w:pPr>
      <w:r>
        <w:rPr>
          <w:lang w:eastAsia="zh-CN"/>
        </w:rPr>
        <w:t>•</w:t>
      </w:r>
      <w:r>
        <w:rPr>
          <w:lang w:eastAsia="zh-CN"/>
        </w:rPr>
        <w:tab/>
      </w:r>
      <w:r w:rsidR="003F2E35" w:rsidRPr="003F2E35">
        <w:rPr>
          <w:rFonts w:hint="eastAsia"/>
          <w:lang w:eastAsia="zh-CN"/>
        </w:rPr>
        <w:t>尽快创造实施</w:t>
      </w:r>
      <w:r w:rsidR="00282E29">
        <w:rPr>
          <w:rFonts w:hint="eastAsia"/>
          <w:lang w:eastAsia="zh-CN"/>
        </w:rPr>
        <w:t>本</w:t>
      </w:r>
      <w:r w:rsidR="003F2E35" w:rsidRPr="003F2E35">
        <w:rPr>
          <w:rFonts w:hint="eastAsia"/>
          <w:lang w:eastAsia="zh-CN"/>
        </w:rPr>
        <w:t>决议的必要条件，并跟进其实施，尤其是为了弥合标准化差距（</w:t>
      </w:r>
      <w:r w:rsidR="003F2E35" w:rsidRPr="003F2E35">
        <w:rPr>
          <w:rFonts w:hint="eastAsia"/>
          <w:lang w:eastAsia="zh-CN"/>
        </w:rPr>
        <w:t>BSG</w:t>
      </w:r>
      <w:proofErr w:type="gramStart"/>
      <w:r w:rsidR="003F2E35" w:rsidRPr="003F2E35">
        <w:rPr>
          <w:rFonts w:hint="eastAsia"/>
          <w:lang w:eastAsia="zh-CN"/>
        </w:rPr>
        <w:t>）；</w:t>
      </w:r>
      <w:proofErr w:type="gramEnd"/>
    </w:p>
    <w:p w14:paraId="6106E00C" w14:textId="6E7E359D" w:rsidR="00A4483C" w:rsidRDefault="00A4483C" w:rsidP="00A4483C">
      <w:pPr>
        <w:pStyle w:val="enumlev1"/>
        <w:rPr>
          <w:lang w:eastAsia="zh-CN"/>
        </w:rPr>
      </w:pPr>
      <w:r>
        <w:rPr>
          <w:lang w:eastAsia="zh-CN"/>
        </w:rPr>
        <w:t>•</w:t>
      </w:r>
      <w:r>
        <w:rPr>
          <w:lang w:eastAsia="zh-CN"/>
        </w:rPr>
        <w:tab/>
      </w:r>
      <w:r w:rsidR="003F2E35" w:rsidRPr="003F2E35">
        <w:rPr>
          <w:rFonts w:hint="eastAsia"/>
          <w:lang w:eastAsia="zh-CN"/>
        </w:rPr>
        <w:t>与无线电通信局</w:t>
      </w:r>
      <w:r w:rsidR="00720448">
        <w:rPr>
          <w:rFonts w:hint="eastAsia"/>
          <w:lang w:eastAsia="zh-CN"/>
        </w:rPr>
        <w:t>主任</w:t>
      </w:r>
      <w:r w:rsidR="003F2E35" w:rsidRPr="003F2E35">
        <w:rPr>
          <w:rFonts w:hint="eastAsia"/>
          <w:lang w:eastAsia="zh-CN"/>
        </w:rPr>
        <w:t>和电信发展局</w:t>
      </w:r>
      <w:r w:rsidR="00720448">
        <w:rPr>
          <w:rFonts w:hint="eastAsia"/>
          <w:lang w:eastAsia="zh-CN"/>
        </w:rPr>
        <w:t>主任</w:t>
      </w:r>
      <w:r w:rsidR="003F2E35" w:rsidRPr="003F2E35">
        <w:rPr>
          <w:rFonts w:hint="eastAsia"/>
          <w:lang w:eastAsia="zh-CN"/>
        </w:rPr>
        <w:t>合作</w:t>
      </w:r>
      <w:r w:rsidR="00720448">
        <w:rPr>
          <w:rFonts w:hint="eastAsia"/>
          <w:lang w:eastAsia="zh-CN"/>
        </w:rPr>
        <w:t>，</w:t>
      </w:r>
      <w:proofErr w:type="gramStart"/>
      <w:r w:rsidR="003F2E35" w:rsidRPr="003F2E35">
        <w:rPr>
          <w:rFonts w:hint="eastAsia"/>
          <w:lang w:eastAsia="zh-CN"/>
        </w:rPr>
        <w:t>分析将本</w:t>
      </w:r>
      <w:r w:rsidR="00720448">
        <w:rPr>
          <w:rFonts w:hint="eastAsia"/>
          <w:lang w:eastAsia="zh-CN"/>
        </w:rPr>
        <w:t>建议</w:t>
      </w:r>
      <w:r w:rsidR="003F2E35" w:rsidRPr="003F2E35">
        <w:rPr>
          <w:rFonts w:hint="eastAsia"/>
          <w:lang w:eastAsia="zh-CN"/>
        </w:rPr>
        <w:t>扩展到国际电联所有其他部门活动的可能性；</w:t>
      </w:r>
      <w:proofErr w:type="gramEnd"/>
    </w:p>
    <w:p w14:paraId="5FCE15A2" w14:textId="1CFE150F" w:rsidR="00A4483C" w:rsidRDefault="00A4483C" w:rsidP="00A4483C">
      <w:pPr>
        <w:rPr>
          <w:lang w:eastAsia="zh-CN"/>
        </w:rPr>
      </w:pPr>
      <w:r>
        <w:rPr>
          <w:lang w:eastAsia="zh-CN"/>
        </w:rPr>
        <w:t>2</w:t>
      </w:r>
      <w:r>
        <w:rPr>
          <w:lang w:eastAsia="zh-CN"/>
        </w:rPr>
        <w:tab/>
      </w:r>
      <w:r w:rsidR="00354E9F">
        <w:rPr>
          <w:rFonts w:hint="eastAsia"/>
          <w:lang w:eastAsia="zh-CN"/>
        </w:rPr>
        <w:t>电信</w:t>
      </w:r>
      <w:r w:rsidR="00354E9F">
        <w:rPr>
          <w:lang w:eastAsia="zh-CN"/>
        </w:rPr>
        <w:t>标准化顾问组</w:t>
      </w:r>
      <w:r w:rsidR="00354E9F" w:rsidRPr="00354E9F">
        <w:rPr>
          <w:rFonts w:hint="eastAsia"/>
          <w:lang w:eastAsia="zh-CN"/>
        </w:rPr>
        <w:t>：</w:t>
      </w:r>
    </w:p>
    <w:p w14:paraId="0020C990" w14:textId="094DA911" w:rsidR="00A4483C" w:rsidRDefault="00A4483C" w:rsidP="00A4483C">
      <w:pPr>
        <w:pStyle w:val="enumlev1"/>
        <w:rPr>
          <w:lang w:eastAsia="zh-CN"/>
        </w:rPr>
      </w:pPr>
      <w:r>
        <w:rPr>
          <w:lang w:eastAsia="zh-CN"/>
        </w:rPr>
        <w:t>•</w:t>
      </w:r>
      <w:r>
        <w:rPr>
          <w:lang w:eastAsia="zh-CN"/>
        </w:rPr>
        <w:tab/>
      </w:r>
      <w:r w:rsidR="003F2E35" w:rsidRPr="003F2E35">
        <w:rPr>
          <w:rFonts w:hint="eastAsia"/>
          <w:lang w:eastAsia="zh-CN"/>
        </w:rPr>
        <w:t>要求研究组主席确定</w:t>
      </w:r>
      <w:r w:rsidR="00720448">
        <w:rPr>
          <w:rFonts w:hint="eastAsia"/>
          <w:lang w:eastAsia="zh-CN"/>
        </w:rPr>
        <w:t>电子工作方法</w:t>
      </w:r>
      <w:r w:rsidR="003F2E35" w:rsidRPr="003F2E35">
        <w:rPr>
          <w:rFonts w:hint="eastAsia"/>
          <w:lang w:eastAsia="zh-CN"/>
        </w:rPr>
        <w:t>的所有其他可能用途，</w:t>
      </w:r>
      <w:proofErr w:type="gramStart"/>
      <w:r w:rsidR="003F2E35" w:rsidRPr="003F2E35">
        <w:rPr>
          <w:rFonts w:hint="eastAsia"/>
          <w:lang w:eastAsia="zh-CN"/>
        </w:rPr>
        <w:t>以</w:t>
      </w:r>
      <w:r w:rsidR="00720448">
        <w:rPr>
          <w:rFonts w:hint="eastAsia"/>
          <w:lang w:eastAsia="zh-CN"/>
        </w:rPr>
        <w:t>协助增进</w:t>
      </w:r>
      <w:r w:rsidR="003F2E35" w:rsidRPr="003F2E35">
        <w:rPr>
          <w:rFonts w:hint="eastAsia"/>
          <w:lang w:eastAsia="zh-CN"/>
        </w:rPr>
        <w:t>相关</w:t>
      </w:r>
      <w:r w:rsidR="00720448">
        <w:rPr>
          <w:rFonts w:hint="eastAsia"/>
          <w:lang w:eastAsia="zh-CN"/>
        </w:rPr>
        <w:t>各</w:t>
      </w:r>
      <w:r w:rsidR="003F2E35" w:rsidRPr="003F2E35">
        <w:rPr>
          <w:rFonts w:hint="eastAsia"/>
          <w:lang w:eastAsia="zh-CN"/>
        </w:rPr>
        <w:t>方的参与；</w:t>
      </w:r>
      <w:proofErr w:type="gramEnd"/>
    </w:p>
    <w:p w14:paraId="04E14766" w14:textId="7337B0CD" w:rsidR="00A4483C" w:rsidRDefault="00A4483C" w:rsidP="00A4483C">
      <w:pPr>
        <w:pStyle w:val="enumlev1"/>
        <w:rPr>
          <w:lang w:eastAsia="zh-CN"/>
        </w:rPr>
      </w:pPr>
      <w:r>
        <w:rPr>
          <w:lang w:eastAsia="zh-CN"/>
        </w:rPr>
        <w:t>•</w:t>
      </w:r>
      <w:r>
        <w:rPr>
          <w:lang w:eastAsia="zh-CN"/>
        </w:rPr>
        <w:tab/>
      </w:r>
      <w:r w:rsidR="003F2E35" w:rsidRPr="003F2E35">
        <w:rPr>
          <w:rFonts w:hint="eastAsia"/>
          <w:lang w:eastAsia="zh-CN"/>
        </w:rPr>
        <w:t>根据获得的经验和认为未来工作所需的意见，</w:t>
      </w:r>
      <w:proofErr w:type="gramStart"/>
      <w:r w:rsidR="003F2E35" w:rsidRPr="003F2E35">
        <w:rPr>
          <w:rFonts w:hint="eastAsia"/>
          <w:lang w:eastAsia="zh-CN"/>
        </w:rPr>
        <w:t>确定用户在通过</w:t>
      </w:r>
      <w:r w:rsidR="00720448">
        <w:rPr>
          <w:rFonts w:hint="eastAsia"/>
          <w:lang w:eastAsia="zh-CN"/>
        </w:rPr>
        <w:t>电子工作方法</w:t>
      </w:r>
      <w:r w:rsidR="003F2E35" w:rsidRPr="003F2E35">
        <w:rPr>
          <w:rFonts w:hint="eastAsia"/>
          <w:lang w:eastAsia="zh-CN"/>
        </w:rPr>
        <w:t>和</w:t>
      </w:r>
      <w:r w:rsidR="00720448">
        <w:rPr>
          <w:rFonts w:hint="eastAsia"/>
          <w:lang w:eastAsia="zh-CN"/>
        </w:rPr>
        <w:t>现场</w:t>
      </w:r>
      <w:r w:rsidR="003F2E35" w:rsidRPr="003F2E35">
        <w:rPr>
          <w:rFonts w:hint="eastAsia"/>
          <w:lang w:eastAsia="zh-CN"/>
        </w:rPr>
        <w:t>活动同时交互方面所需的改进；</w:t>
      </w:r>
      <w:proofErr w:type="gramEnd"/>
    </w:p>
    <w:p w14:paraId="517CBC5E" w14:textId="0B8A275A" w:rsidR="00A4483C" w:rsidRDefault="00A4483C" w:rsidP="00A4483C">
      <w:pPr>
        <w:pStyle w:val="enumlev1"/>
        <w:rPr>
          <w:lang w:eastAsia="zh-CN"/>
        </w:rPr>
      </w:pPr>
      <w:r>
        <w:rPr>
          <w:lang w:eastAsia="zh-CN"/>
        </w:rPr>
        <w:t>•</w:t>
      </w:r>
      <w:r>
        <w:rPr>
          <w:lang w:eastAsia="zh-CN"/>
        </w:rPr>
        <w:tab/>
      </w:r>
      <w:r w:rsidR="003F2E35" w:rsidRPr="003F2E35">
        <w:rPr>
          <w:rFonts w:hint="eastAsia"/>
          <w:lang w:eastAsia="zh-CN"/>
        </w:rPr>
        <w:t>通过提供有关参与形式和所</w:t>
      </w:r>
      <w:r w:rsidR="00720448">
        <w:rPr>
          <w:rFonts w:hint="eastAsia"/>
          <w:lang w:eastAsia="zh-CN"/>
        </w:rPr>
        <w:t>开展</w:t>
      </w:r>
      <w:r w:rsidR="003F2E35" w:rsidRPr="003F2E35">
        <w:rPr>
          <w:rFonts w:hint="eastAsia"/>
          <w:lang w:eastAsia="zh-CN"/>
        </w:rPr>
        <w:t>后续活动的信息，</w:t>
      </w:r>
      <w:r w:rsidR="00720448">
        <w:rPr>
          <w:rFonts w:hint="eastAsia"/>
          <w:lang w:eastAsia="zh-CN"/>
        </w:rPr>
        <w:t>跟进现场</w:t>
      </w:r>
      <w:r w:rsidR="003F2E35" w:rsidRPr="003F2E35">
        <w:rPr>
          <w:rFonts w:hint="eastAsia"/>
          <w:lang w:eastAsia="zh-CN"/>
        </w:rPr>
        <w:t>和虚拟交互</w:t>
      </w:r>
      <w:r w:rsidR="00720448">
        <w:rPr>
          <w:rFonts w:hint="eastAsia"/>
          <w:lang w:eastAsia="zh-CN"/>
        </w:rPr>
        <w:t>方式</w:t>
      </w:r>
      <w:r w:rsidR="003F2E35" w:rsidRPr="003F2E35">
        <w:rPr>
          <w:rFonts w:hint="eastAsia"/>
          <w:lang w:eastAsia="zh-CN"/>
        </w:rPr>
        <w:t>在实现</w:t>
      </w:r>
      <w:r w:rsidR="00720448">
        <w:rPr>
          <w:rFonts w:hint="eastAsia"/>
          <w:lang w:eastAsia="zh-CN"/>
        </w:rPr>
        <w:t>本</w:t>
      </w:r>
      <w:r w:rsidR="003F2E35" w:rsidRPr="003F2E35">
        <w:rPr>
          <w:rFonts w:hint="eastAsia"/>
          <w:lang w:eastAsia="zh-CN"/>
        </w:rPr>
        <w:t>部门目标方面</w:t>
      </w:r>
      <w:r w:rsidR="00720448">
        <w:rPr>
          <w:rFonts w:hint="eastAsia"/>
          <w:lang w:eastAsia="zh-CN"/>
        </w:rPr>
        <w:t>取得</w:t>
      </w:r>
      <w:r w:rsidR="003F2E35" w:rsidRPr="003F2E35">
        <w:rPr>
          <w:rFonts w:hint="eastAsia"/>
          <w:lang w:eastAsia="zh-CN"/>
        </w:rPr>
        <w:t>的</w:t>
      </w:r>
      <w:r w:rsidR="00720448">
        <w:rPr>
          <w:rFonts w:hint="eastAsia"/>
          <w:lang w:eastAsia="zh-CN"/>
        </w:rPr>
        <w:t>成果</w:t>
      </w:r>
      <w:r w:rsidR="003F2E35" w:rsidRPr="003F2E35">
        <w:rPr>
          <w:rFonts w:hint="eastAsia"/>
          <w:lang w:eastAsia="zh-CN"/>
        </w:rPr>
        <w:t>，</w:t>
      </w:r>
    </w:p>
    <w:p w14:paraId="39533FB8" w14:textId="5F2C508E" w:rsidR="00A4483C" w:rsidRPr="00720448" w:rsidRDefault="00720448" w:rsidP="00A4483C">
      <w:pPr>
        <w:pStyle w:val="Call"/>
        <w:rPr>
          <w:lang w:eastAsia="zh-CN"/>
        </w:rPr>
      </w:pPr>
      <w:r w:rsidRPr="00720448">
        <w:rPr>
          <w:rFonts w:hint="eastAsia"/>
          <w:lang w:eastAsia="zh-CN"/>
        </w:rPr>
        <w:t>请</w:t>
      </w:r>
    </w:p>
    <w:p w14:paraId="49C05A2C" w14:textId="0D757133" w:rsidR="00A4483C" w:rsidRDefault="003F2E35" w:rsidP="00765296">
      <w:pPr>
        <w:ind w:firstLineChars="200" w:firstLine="480"/>
        <w:rPr>
          <w:lang w:eastAsia="zh-CN"/>
        </w:rPr>
      </w:pPr>
      <w:r w:rsidRPr="003F2E35">
        <w:rPr>
          <w:rFonts w:hint="eastAsia"/>
          <w:lang w:eastAsia="zh-CN"/>
        </w:rPr>
        <w:t>国际电联理事会对支持国际电联活动和</w:t>
      </w:r>
      <w:r w:rsidR="00720448">
        <w:rPr>
          <w:rFonts w:hint="eastAsia"/>
          <w:lang w:eastAsia="zh-CN"/>
        </w:rPr>
        <w:t>协助</w:t>
      </w:r>
      <w:r w:rsidRPr="003F2E35">
        <w:rPr>
          <w:rFonts w:hint="eastAsia"/>
          <w:lang w:eastAsia="zh-CN"/>
        </w:rPr>
        <w:t>实现参与目标的虚拟工具的潜力进行评估并提出建议。</w:t>
      </w:r>
    </w:p>
    <w:p w14:paraId="6728E003" w14:textId="77777777" w:rsidR="00A4483C" w:rsidRDefault="00A4483C" w:rsidP="00411C49">
      <w:pPr>
        <w:pStyle w:val="Reasons"/>
        <w:rPr>
          <w:lang w:eastAsia="zh-CN"/>
        </w:rPr>
      </w:pPr>
    </w:p>
    <w:p w14:paraId="5910E9DC" w14:textId="02AB9DC7" w:rsidR="00967C59" w:rsidRDefault="00A4483C" w:rsidP="00A4483C">
      <w:pPr>
        <w:jc w:val="center"/>
      </w:pPr>
      <w:r>
        <w:t>______________</w:t>
      </w:r>
    </w:p>
    <w:sectPr w:rsidR="00967C59">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C04B" w14:textId="77777777" w:rsidR="00DD2455" w:rsidRDefault="00DD2455">
      <w:r>
        <w:separator/>
      </w:r>
    </w:p>
  </w:endnote>
  <w:endnote w:type="continuationSeparator" w:id="0">
    <w:p w14:paraId="0DD71449"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230" w14:textId="753BC6E2" w:rsidR="00B851D4" w:rsidRPr="00034118" w:rsidRDefault="00B851D4" w:rsidP="00231452">
    <w:pPr>
      <w:pStyle w:val="Footer"/>
      <w:rPr>
        <w:lang w:val="fr-CH"/>
      </w:rPr>
    </w:pPr>
    <w:r>
      <w:fldChar w:fldCharType="begin"/>
    </w:r>
    <w:r w:rsidRPr="00034118">
      <w:rPr>
        <w:lang w:val="fr-CH"/>
      </w:rPr>
      <w:instrText xml:space="preserve"> FILENAME \p \* MERGEFORMAT </w:instrText>
    </w:r>
    <w:r>
      <w:fldChar w:fldCharType="separate"/>
    </w:r>
    <w:r w:rsidR="00765296">
      <w:rPr>
        <w:lang w:val="fr-CH"/>
      </w:rPr>
      <w:t>P:\CHI\ITU-T\CONF-T\WTSA20\000\039ADD32C.docx</w:t>
    </w:r>
    <w:r>
      <w:fldChar w:fldCharType="end"/>
    </w:r>
    <w:r w:rsidR="00034118" w:rsidRPr="00034118">
      <w:rPr>
        <w:lang w:val="fr-CH"/>
      </w:rPr>
      <w:t xml:space="preserve"> </w:t>
    </w:r>
    <w:r w:rsidR="00034118">
      <w:rPr>
        <w:lang w:val="fr-CH"/>
      </w:rPr>
      <w:t>(496403)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4597" w14:textId="06546F9D" w:rsidR="00034118" w:rsidRPr="00034118" w:rsidRDefault="00034118" w:rsidP="00034118">
    <w:pPr>
      <w:pStyle w:val="Footer"/>
      <w:rPr>
        <w:lang w:val="fr-CH"/>
      </w:rPr>
    </w:pPr>
    <w:r>
      <w:fldChar w:fldCharType="begin"/>
    </w:r>
    <w:r w:rsidRPr="00034118">
      <w:rPr>
        <w:lang w:val="fr-CH"/>
      </w:rPr>
      <w:instrText xml:space="preserve"> FILENAME \p \* MERGEFORMAT </w:instrText>
    </w:r>
    <w:r>
      <w:fldChar w:fldCharType="separate"/>
    </w:r>
    <w:r w:rsidR="00765296">
      <w:rPr>
        <w:lang w:val="fr-CH"/>
      </w:rPr>
      <w:t>P:\CHI\ITU-T\CONF-T\WTSA20\000\039ADD32C.docx</w:t>
    </w:r>
    <w:r>
      <w:fldChar w:fldCharType="end"/>
    </w:r>
    <w:r w:rsidRPr="00034118">
      <w:rPr>
        <w:lang w:val="fr-CH"/>
      </w:rPr>
      <w:t xml:space="preserve"> </w:t>
    </w:r>
    <w:r>
      <w:rPr>
        <w:lang w:val="fr-CH"/>
      </w:rPr>
      <w:t>(496403)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0C54" w14:textId="77777777" w:rsidR="00DD2455" w:rsidRDefault="00DD2455">
      <w:r>
        <w:t>____________________</w:t>
      </w:r>
    </w:p>
  </w:footnote>
  <w:footnote w:type="continuationSeparator" w:id="0">
    <w:p w14:paraId="442CDA3E" w14:textId="77777777" w:rsidR="00DD2455" w:rsidRDefault="00DD2455">
      <w:r>
        <w:continuationSeparator/>
      </w:r>
    </w:p>
  </w:footnote>
  <w:footnote w:id="1">
    <w:p w14:paraId="5FA0859A" w14:textId="77777777" w:rsidR="003F7F20" w:rsidRDefault="003F7F20" w:rsidP="003F7F20">
      <w:pPr>
        <w:pStyle w:val="FootnoteText"/>
        <w:rPr>
          <w:lang w:eastAsia="zh-CN"/>
        </w:rPr>
      </w:pPr>
      <w:r>
        <w:rPr>
          <w:rStyle w:val="FootnoteReference"/>
        </w:rPr>
        <w:footnoteRef/>
      </w:r>
      <w:r>
        <w:rPr>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318F"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1C55EC8E" w14:textId="415C47BD"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F6177">
      <w:rPr>
        <w:rFonts w:hint="eastAsia"/>
        <w:noProof/>
        <w:lang w:val="en-US"/>
      </w:rPr>
      <w:t>文件</w:t>
    </w:r>
    <w:r w:rsidR="00CF6177">
      <w:rPr>
        <w:rFonts w:hint="eastAsia"/>
        <w:noProof/>
        <w:lang w:val="en-US"/>
      </w:rPr>
      <w:t xml:space="preserve"> 39 (Add.32)-C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4118"/>
    <w:rsid w:val="00037C90"/>
    <w:rsid w:val="00055EE6"/>
    <w:rsid w:val="00081F9B"/>
    <w:rsid w:val="00083A44"/>
    <w:rsid w:val="000A3B30"/>
    <w:rsid w:val="000C09BA"/>
    <w:rsid w:val="000C127E"/>
    <w:rsid w:val="000C1F1E"/>
    <w:rsid w:val="000C6AA7"/>
    <w:rsid w:val="000E26F6"/>
    <w:rsid w:val="000F4931"/>
    <w:rsid w:val="00116E3D"/>
    <w:rsid w:val="00123B64"/>
    <w:rsid w:val="0012442F"/>
    <w:rsid w:val="00157B96"/>
    <w:rsid w:val="00166859"/>
    <w:rsid w:val="001765EC"/>
    <w:rsid w:val="001853E8"/>
    <w:rsid w:val="001904F7"/>
    <w:rsid w:val="001B6360"/>
    <w:rsid w:val="001F4EA6"/>
    <w:rsid w:val="00214959"/>
    <w:rsid w:val="002236A0"/>
    <w:rsid w:val="00231452"/>
    <w:rsid w:val="002426F1"/>
    <w:rsid w:val="00246C4C"/>
    <w:rsid w:val="00250D5C"/>
    <w:rsid w:val="00254139"/>
    <w:rsid w:val="0028063B"/>
    <w:rsid w:val="00282E29"/>
    <w:rsid w:val="002A4C9C"/>
    <w:rsid w:val="002B509B"/>
    <w:rsid w:val="002D162B"/>
    <w:rsid w:val="002D625E"/>
    <w:rsid w:val="002E2A59"/>
    <w:rsid w:val="002F5D57"/>
    <w:rsid w:val="00305254"/>
    <w:rsid w:val="0030785C"/>
    <w:rsid w:val="003169D2"/>
    <w:rsid w:val="003468CA"/>
    <w:rsid w:val="00354E9F"/>
    <w:rsid w:val="003556C0"/>
    <w:rsid w:val="00372FC2"/>
    <w:rsid w:val="0037639E"/>
    <w:rsid w:val="003A69EA"/>
    <w:rsid w:val="003B2115"/>
    <w:rsid w:val="003B4BEF"/>
    <w:rsid w:val="003C6B45"/>
    <w:rsid w:val="003F0C01"/>
    <w:rsid w:val="003F2E35"/>
    <w:rsid w:val="003F3F0B"/>
    <w:rsid w:val="003F7F20"/>
    <w:rsid w:val="00400909"/>
    <w:rsid w:val="0041282E"/>
    <w:rsid w:val="00430443"/>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92E66"/>
    <w:rsid w:val="005A0ACB"/>
    <w:rsid w:val="005B2CFB"/>
    <w:rsid w:val="005C7B12"/>
    <w:rsid w:val="005E2638"/>
    <w:rsid w:val="005E7FD8"/>
    <w:rsid w:val="006111B1"/>
    <w:rsid w:val="00611DCC"/>
    <w:rsid w:val="00621CC3"/>
    <w:rsid w:val="00622560"/>
    <w:rsid w:val="00637760"/>
    <w:rsid w:val="00644391"/>
    <w:rsid w:val="00647712"/>
    <w:rsid w:val="00662E12"/>
    <w:rsid w:val="00691142"/>
    <w:rsid w:val="006B138E"/>
    <w:rsid w:val="006B6525"/>
    <w:rsid w:val="006B67CE"/>
    <w:rsid w:val="006C38ED"/>
    <w:rsid w:val="006E17E7"/>
    <w:rsid w:val="006E6182"/>
    <w:rsid w:val="006F3C60"/>
    <w:rsid w:val="006F409E"/>
    <w:rsid w:val="00707454"/>
    <w:rsid w:val="00720448"/>
    <w:rsid w:val="00736415"/>
    <w:rsid w:val="007512AB"/>
    <w:rsid w:val="00761541"/>
    <w:rsid w:val="00765296"/>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67C59"/>
    <w:rsid w:val="009759FE"/>
    <w:rsid w:val="0099525B"/>
    <w:rsid w:val="009C72B7"/>
    <w:rsid w:val="009D164C"/>
    <w:rsid w:val="00A0052C"/>
    <w:rsid w:val="00A06370"/>
    <w:rsid w:val="00A1541A"/>
    <w:rsid w:val="00A16B3A"/>
    <w:rsid w:val="00A17BD2"/>
    <w:rsid w:val="00A31B14"/>
    <w:rsid w:val="00A323DC"/>
    <w:rsid w:val="00A4483C"/>
    <w:rsid w:val="00A815BE"/>
    <w:rsid w:val="00AA5DA1"/>
    <w:rsid w:val="00AA7D2A"/>
    <w:rsid w:val="00AB7F81"/>
    <w:rsid w:val="00AC0AC4"/>
    <w:rsid w:val="00AE2EBC"/>
    <w:rsid w:val="00AE369F"/>
    <w:rsid w:val="00AE7C24"/>
    <w:rsid w:val="00B026CB"/>
    <w:rsid w:val="00B12380"/>
    <w:rsid w:val="00B42DB6"/>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822D8"/>
    <w:rsid w:val="00C929E0"/>
    <w:rsid w:val="00CB0525"/>
    <w:rsid w:val="00CB4E5A"/>
    <w:rsid w:val="00CC7110"/>
    <w:rsid w:val="00CC73D7"/>
    <w:rsid w:val="00CF0AD7"/>
    <w:rsid w:val="00CF0BE1"/>
    <w:rsid w:val="00CF25B1"/>
    <w:rsid w:val="00CF5665"/>
    <w:rsid w:val="00CF6177"/>
    <w:rsid w:val="00CF7C42"/>
    <w:rsid w:val="00D061C5"/>
    <w:rsid w:val="00D14AB0"/>
    <w:rsid w:val="00D35CBC"/>
    <w:rsid w:val="00D52A14"/>
    <w:rsid w:val="00D74599"/>
    <w:rsid w:val="00D90575"/>
    <w:rsid w:val="00DA0469"/>
    <w:rsid w:val="00DC4ABC"/>
    <w:rsid w:val="00DD13B7"/>
    <w:rsid w:val="00DD2455"/>
    <w:rsid w:val="00DD2BF5"/>
    <w:rsid w:val="00DF3B0C"/>
    <w:rsid w:val="00E148F2"/>
    <w:rsid w:val="00E14984"/>
    <w:rsid w:val="00E22A25"/>
    <w:rsid w:val="00E2414B"/>
    <w:rsid w:val="00E249E0"/>
    <w:rsid w:val="00E4252D"/>
    <w:rsid w:val="00E560F1"/>
    <w:rsid w:val="00E56380"/>
    <w:rsid w:val="00E9167E"/>
    <w:rsid w:val="00E92319"/>
    <w:rsid w:val="00F469EB"/>
    <w:rsid w:val="00F53280"/>
    <w:rsid w:val="00F532F9"/>
    <w:rsid w:val="00F56434"/>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8A1D1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3e58aa5-743a-4b2d-8af3-dd439c2ae660">DPM</DPM_x0020_Author>
    <DPM_x0020_File_x0020_name xmlns="73e58aa5-743a-4b2d-8af3-dd439c2ae660">T17-WTSA.20-C-0039!A32!MSW-C</DPM_x0020_File_x0020_name>
    <DPM_x0020_Version xmlns="73e58aa5-743a-4b2d-8af3-dd439c2ae66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e58aa5-743a-4b2d-8af3-dd439c2ae660" targetNamespace="http://schemas.microsoft.com/office/2006/metadata/properties" ma:root="true" ma:fieldsID="d41af5c836d734370eb92e7ee5f83852" ns2:_="" ns3:_="">
    <xsd:import namespace="996b2e75-67fd-4955-a3b0-5ab9934cb50b"/>
    <xsd:import namespace="73e58aa5-743a-4b2d-8af3-dd439c2ae6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e58aa5-743a-4b2d-8af3-dd439c2ae6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58aa5-743a-4b2d-8af3-dd439c2ae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e58aa5-743a-4b2d-8af3-dd439c2ae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1476</Words>
  <Characters>251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T17-WTSA.20-C-0039!A32!MSW-C</vt:lpstr>
    </vt:vector>
  </TitlesOfParts>
  <Manager>General Secretariat - Pool</Manager>
  <Company>International Telecommunication Union (ITU)</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T17-WTSA.20-C-0039!A32!MSW-C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6</cp:revision>
  <cp:lastPrinted>2016-06-07T13:24:00Z</cp:lastPrinted>
  <dcterms:created xsi:type="dcterms:W3CDTF">2021-11-12T07:30:00Z</dcterms:created>
  <dcterms:modified xsi:type="dcterms:W3CDTF">2021-11-12T08:10:00Z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