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348"/>
        <w:gridCol w:w="5271"/>
        <w:gridCol w:w="3053"/>
      </w:tblGrid>
      <w:tr w:rsidR="00280E04" w14:paraId="5905871E" w14:textId="77777777" w:rsidTr="004E2A5D">
        <w:trPr>
          <w:cantSplit/>
          <w:trHeight w:val="20"/>
        </w:trPr>
        <w:tc>
          <w:tcPr>
            <w:tcW w:w="6619" w:type="dxa"/>
            <w:gridSpan w:val="2"/>
          </w:tcPr>
          <w:p w14:paraId="18DF8E7B" w14:textId="77777777" w:rsidR="00A375BD" w:rsidRPr="00136B82" w:rsidRDefault="004E2A5D" w:rsidP="00680A38">
            <w:pPr>
              <w:pStyle w:val="LOGO"/>
              <w:framePr w:hSpace="0" w:wrap="auto" w:xAlign="left" w:yAlign="inline"/>
            </w:pPr>
            <w:r>
              <w:rPr>
                <w:rFonts w:hint="cs"/>
                <w:rtl/>
              </w:rPr>
              <w:t xml:space="preserve">الجمعية العالمية لتقييس الاتصالات </w:t>
            </w:r>
            <w:r>
              <w:t>(WTSA-20)</w:t>
            </w:r>
          </w:p>
          <w:p w14:paraId="5369C3C6" w14:textId="5AC9A8A0" w:rsidR="00A33A95" w:rsidRPr="00136B82" w:rsidRDefault="00E510CF" w:rsidP="00A33A95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A33A95" w:rsidRPr="00A33A95">
              <w:rPr>
                <w:rFonts w:hint="cs"/>
                <w:sz w:val="26"/>
                <w:szCs w:val="26"/>
                <w:rtl/>
                <w:lang w:bidi="ar-SA"/>
              </w:rPr>
              <w:t xml:space="preserve">، </w:t>
            </w:r>
            <w:r w:rsidR="00A33A95">
              <w:rPr>
                <w:sz w:val="26"/>
                <w:szCs w:val="26"/>
              </w:rPr>
              <w:t>1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- </w:t>
            </w:r>
            <w:r w:rsidR="00A33A95">
              <w:rPr>
                <w:sz w:val="26"/>
                <w:szCs w:val="26"/>
              </w:rPr>
              <w:t>9</w:t>
            </w:r>
            <w:r w:rsidR="00A33A95">
              <w:rPr>
                <w:rFonts w:hint="cs"/>
                <w:sz w:val="26"/>
                <w:szCs w:val="26"/>
                <w:rtl/>
              </w:rPr>
              <w:t xml:space="preserve"> </w:t>
            </w:r>
            <w:r w:rsidR="00A33A95" w:rsidRPr="007A3A06">
              <w:rPr>
                <w:rFonts w:hint="cs"/>
                <w:sz w:val="26"/>
                <w:szCs w:val="26"/>
                <w:rtl/>
                <w:lang w:bidi="ar-SA"/>
              </w:rPr>
              <w:t xml:space="preserve">مارس </w:t>
            </w:r>
            <w:r w:rsidR="00A33A95">
              <w:rPr>
                <w:sz w:val="26"/>
                <w:szCs w:val="26"/>
              </w:rPr>
              <w:t>2022</w:t>
            </w:r>
          </w:p>
        </w:tc>
        <w:tc>
          <w:tcPr>
            <w:tcW w:w="3053" w:type="dxa"/>
          </w:tcPr>
          <w:p w14:paraId="1B885A86" w14:textId="77777777" w:rsidR="00280E04" w:rsidRDefault="004E2A5D" w:rsidP="004E2A5D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AA5601A" wp14:editId="6564C05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24421176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bottom w:val="single" w:sz="12" w:space="0" w:color="auto"/>
            </w:tcBorders>
          </w:tcPr>
          <w:p w14:paraId="441D6BD4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37BE8D5E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46A50DF" w14:textId="77777777" w:rsidTr="004E2A5D">
        <w:trPr>
          <w:cantSplit/>
          <w:trHeight w:val="20"/>
        </w:trPr>
        <w:tc>
          <w:tcPr>
            <w:tcW w:w="6619" w:type="dxa"/>
            <w:gridSpan w:val="2"/>
            <w:tcBorders>
              <w:top w:val="single" w:sz="12" w:space="0" w:color="auto"/>
            </w:tcBorders>
          </w:tcPr>
          <w:p w14:paraId="15A4AC31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96EA2D9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A809E8" w14:paraId="6793E873" w14:textId="77777777" w:rsidTr="004E2A5D">
        <w:trPr>
          <w:cantSplit/>
        </w:trPr>
        <w:tc>
          <w:tcPr>
            <w:tcW w:w="6619" w:type="dxa"/>
            <w:gridSpan w:val="2"/>
          </w:tcPr>
          <w:p w14:paraId="0DAD6663" w14:textId="77777777" w:rsidR="00A809E8" w:rsidRPr="008F5205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F5205">
              <w:rPr>
                <w:rtl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03DA29B" w14:textId="77777777" w:rsidR="00A809E8" w:rsidRPr="008F5205" w:rsidRDefault="00B12AE2" w:rsidP="005C3880">
            <w:pPr>
              <w:pStyle w:val="Adress"/>
              <w:framePr w:hSpace="0" w:wrap="auto" w:xAlign="left" w:yAlign="inline"/>
              <w:spacing w:before="40" w:after="40"/>
            </w:pPr>
            <w:r>
              <w:rPr>
                <w:rFonts w:hint="cs"/>
                <w:rtl/>
              </w:rPr>
              <w:t>الإضافة </w:t>
            </w:r>
            <w:r w:rsidR="005C3880" w:rsidRPr="008F5205">
              <w:t>3</w:t>
            </w:r>
            <w:r w:rsidR="005C3880" w:rsidRPr="008F5205">
              <w:br/>
            </w:r>
            <w:r>
              <w:rPr>
                <w:rFonts w:hint="cs"/>
                <w:rtl/>
              </w:rPr>
              <w:t>للوثيقة</w:t>
            </w:r>
            <w:r w:rsidR="008F5205">
              <w:rPr>
                <w:rFonts w:hint="cs"/>
                <w:rtl/>
              </w:rPr>
              <w:t xml:space="preserve"> </w:t>
            </w:r>
            <w:r w:rsidR="008F5205">
              <w:t>39-A</w:t>
            </w:r>
          </w:p>
        </w:tc>
      </w:tr>
      <w:tr w:rsidR="005C3880" w14:paraId="04C8C2F0" w14:textId="77777777" w:rsidTr="004E2A5D">
        <w:trPr>
          <w:cantSplit/>
        </w:trPr>
        <w:tc>
          <w:tcPr>
            <w:tcW w:w="6619" w:type="dxa"/>
            <w:gridSpan w:val="2"/>
          </w:tcPr>
          <w:p w14:paraId="3049834E" w14:textId="77777777" w:rsidR="005C3880" w:rsidRPr="008F5205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0F3F2706" w14:textId="77777777" w:rsidR="005C3880" w:rsidRPr="008F5205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F5205">
              <w:rPr>
                <w:rFonts w:eastAsia="SimSun"/>
              </w:rPr>
              <w:t>24</w:t>
            </w:r>
            <w:r w:rsidRPr="008F5205">
              <w:rPr>
                <w:rFonts w:eastAsia="SimSun"/>
                <w:rtl/>
              </w:rPr>
              <w:t xml:space="preserve"> مارس </w:t>
            </w:r>
            <w:r w:rsidRPr="008F5205">
              <w:rPr>
                <w:rFonts w:eastAsia="SimSun"/>
              </w:rPr>
              <w:t>2021</w:t>
            </w:r>
          </w:p>
        </w:tc>
      </w:tr>
      <w:tr w:rsidR="005C3880" w14:paraId="72591E37" w14:textId="77777777" w:rsidTr="004E2A5D">
        <w:trPr>
          <w:cantSplit/>
        </w:trPr>
        <w:tc>
          <w:tcPr>
            <w:tcW w:w="6619" w:type="dxa"/>
            <w:gridSpan w:val="2"/>
          </w:tcPr>
          <w:p w14:paraId="24EB15AE" w14:textId="77777777" w:rsidR="005C3880" w:rsidRPr="008F5205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9AB794B" w14:textId="77777777" w:rsidR="005C3880" w:rsidRPr="008F5205" w:rsidRDefault="005C3880" w:rsidP="005C3880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F5205">
              <w:rPr>
                <w:rtl/>
              </w:rPr>
              <w:t>الأصل: بالإنكليزية</w:t>
            </w:r>
          </w:p>
        </w:tc>
      </w:tr>
      <w:tr w:rsidR="005C3880" w14:paraId="0CA561B1" w14:textId="77777777" w:rsidTr="004E2A5D">
        <w:trPr>
          <w:cantSplit/>
        </w:trPr>
        <w:tc>
          <w:tcPr>
            <w:tcW w:w="9672" w:type="dxa"/>
            <w:gridSpan w:val="3"/>
          </w:tcPr>
          <w:p w14:paraId="5FE91A5E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30AF9DF5" w14:textId="77777777" w:rsidTr="004E2A5D">
        <w:trPr>
          <w:cantSplit/>
        </w:trPr>
        <w:tc>
          <w:tcPr>
            <w:tcW w:w="9672" w:type="dxa"/>
            <w:gridSpan w:val="3"/>
          </w:tcPr>
          <w:p w14:paraId="3FA1791A" w14:textId="77777777" w:rsidR="005C3880" w:rsidRPr="00E621A3" w:rsidRDefault="005C3880" w:rsidP="005C3880">
            <w:pPr>
              <w:pStyle w:val="Source"/>
              <w:rPr>
                <w:rtl/>
              </w:rPr>
            </w:pPr>
            <w:r w:rsidRPr="005C3880">
              <w:rPr>
                <w:rtl/>
              </w:rPr>
              <w:t>الدول الأعضاء في لجنة البلدان الأمريكية للاتصالات (CITEL)</w:t>
            </w:r>
          </w:p>
        </w:tc>
      </w:tr>
      <w:tr w:rsidR="005C3880" w14:paraId="5962BBC5" w14:textId="77777777" w:rsidTr="004E2A5D">
        <w:trPr>
          <w:cantSplit/>
        </w:trPr>
        <w:tc>
          <w:tcPr>
            <w:tcW w:w="9672" w:type="dxa"/>
            <w:gridSpan w:val="3"/>
          </w:tcPr>
          <w:p w14:paraId="5C4B8CBB" w14:textId="77777777" w:rsidR="005C3880" w:rsidRPr="00BD6EF3" w:rsidRDefault="00B12AE2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لإلغاء القرار</w:t>
            </w:r>
            <w:r w:rsidR="00D26E67">
              <w:rPr>
                <w:rFonts w:hint="cs"/>
                <w:rtl/>
              </w:rPr>
              <w:t xml:space="preserve"> 77</w:t>
            </w:r>
          </w:p>
        </w:tc>
      </w:tr>
      <w:tr w:rsidR="005C3880" w14:paraId="5FB52955" w14:textId="77777777" w:rsidTr="004E2A5D">
        <w:trPr>
          <w:cantSplit/>
        </w:trPr>
        <w:tc>
          <w:tcPr>
            <w:tcW w:w="9672" w:type="dxa"/>
            <w:gridSpan w:val="3"/>
          </w:tcPr>
          <w:p w14:paraId="3BCA6C9A" w14:textId="77777777" w:rsidR="005C3880" w:rsidRPr="00BD6EF3" w:rsidRDefault="005C3880" w:rsidP="005C3880">
            <w:pPr>
              <w:pStyle w:val="Title2"/>
              <w:rPr>
                <w:rtl/>
              </w:rPr>
            </w:pPr>
          </w:p>
        </w:tc>
      </w:tr>
      <w:tr w:rsidR="005C3880" w14:paraId="3F3C4559" w14:textId="77777777" w:rsidTr="00FC7FD8">
        <w:trPr>
          <w:cantSplit/>
        </w:trPr>
        <w:tc>
          <w:tcPr>
            <w:tcW w:w="9672" w:type="dxa"/>
            <w:gridSpan w:val="3"/>
          </w:tcPr>
          <w:p w14:paraId="43FF9678" w14:textId="77777777" w:rsidR="005C3880" w:rsidRDefault="005C3880" w:rsidP="005C3880">
            <w:pPr>
              <w:rPr>
                <w:rtl/>
              </w:rPr>
            </w:pPr>
          </w:p>
        </w:tc>
      </w:tr>
      <w:tr w:rsidR="005C3880" w14:paraId="3FFBAEA6" w14:textId="77777777" w:rsidTr="00FC7FD8">
        <w:trPr>
          <w:cantSplit/>
        </w:trPr>
        <w:tc>
          <w:tcPr>
            <w:tcW w:w="1348" w:type="dxa"/>
          </w:tcPr>
          <w:p w14:paraId="063D3350" w14:textId="77777777" w:rsidR="005C3880" w:rsidRPr="004E2A5D" w:rsidRDefault="005C3880" w:rsidP="005C3880">
            <w:pPr>
              <w:spacing w:after="120"/>
              <w:rPr>
                <w:b/>
                <w:bCs/>
                <w:rtl/>
              </w:rPr>
            </w:pPr>
            <w:r w:rsidRPr="004E2A5D">
              <w:rPr>
                <w:rFonts w:hint="cs"/>
                <w:b/>
                <w:bCs/>
                <w:rtl/>
              </w:rPr>
              <w:t>ملخص:</w:t>
            </w:r>
          </w:p>
        </w:tc>
        <w:tc>
          <w:tcPr>
            <w:tcW w:w="8324" w:type="dxa"/>
            <w:gridSpan w:val="2"/>
          </w:tcPr>
          <w:p w14:paraId="74E63E94" w14:textId="77777777" w:rsidR="005C3880" w:rsidRDefault="00D22259" w:rsidP="00D22259">
            <w:pPr>
              <w:spacing w:after="120"/>
              <w:rPr>
                <w:rtl/>
              </w:rPr>
            </w:pPr>
            <w:r>
              <w:rPr>
                <w:rFonts w:hint="cs"/>
                <w:rtl/>
              </w:rPr>
              <w:t xml:space="preserve">نظراً إلى أن التدابير التي يشملها القرار 77 (المراجَع في الحمامات، 2016) للجمعية العالمية لتقييس الاتصالات فيما يتعلق </w:t>
            </w:r>
            <w:r>
              <w:rPr>
                <w:rtl/>
                <w:lang w:bidi="ar-EG"/>
              </w:rPr>
              <w:t>بالتوصيل الشبكي المعرَّف بالبرمجيات </w:t>
            </w:r>
            <w:r>
              <w:rPr>
                <w:lang w:bidi="ar-EG"/>
              </w:rPr>
              <w:t>(SDN)</w:t>
            </w:r>
            <w:r>
              <w:rPr>
                <w:rFonts w:hint="cs"/>
                <w:rtl/>
                <w:lang w:bidi="ar-EG"/>
              </w:rPr>
              <w:t xml:space="preserve"> قد تم تنفيذها أو هي في مرحلة متقدمة من التنفيذ في لجان الدراسات وفي مكتب تقييس الاتصالات؛ وتماشياً </w:t>
            </w:r>
            <w:r w:rsidR="004C46FA">
              <w:rPr>
                <w:rtl/>
              </w:rPr>
              <w:t xml:space="preserve">مع المبادئ التوجيهية </w:t>
            </w:r>
            <w:r>
              <w:rPr>
                <w:rFonts w:hint="cs"/>
                <w:rtl/>
              </w:rPr>
              <w:t xml:space="preserve">التي تنص على </w:t>
            </w:r>
            <w:r w:rsidR="004C46FA">
              <w:rPr>
                <w:rtl/>
                <w:lang w:bidi="ar-EG"/>
              </w:rPr>
              <w:t>أن</w:t>
            </w:r>
            <w:r w:rsidR="004C46FA">
              <w:rPr>
                <w:rtl/>
              </w:rPr>
              <w:t xml:space="preserve"> القرارات ‏التي تصف الأعمال التي تم تنفيذها ينبغي إلغاؤها، </w:t>
            </w:r>
            <w:r w:rsidR="00CB4101">
              <w:rPr>
                <w:rFonts w:hint="cs"/>
                <w:rtl/>
              </w:rPr>
              <w:t>تقترح</w:t>
            </w:r>
            <w:r w:rsidR="00AF1B56">
              <w:rPr>
                <w:rFonts w:hint="cs"/>
                <w:rtl/>
              </w:rPr>
              <w:t xml:space="preserve"> لجنة البلدان الأمريكية للاتصالات إلغاء القرار 77</w:t>
            </w:r>
            <w:r w:rsidR="004C46FA">
              <w:rPr>
                <w:rtl/>
                <w:lang w:bidi="ar-EG"/>
              </w:rPr>
              <w:t>.</w:t>
            </w:r>
          </w:p>
        </w:tc>
      </w:tr>
    </w:tbl>
    <w:p w14:paraId="3567EBF3" w14:textId="77777777" w:rsidR="00FC7FD8" w:rsidRDefault="00FC7FD8" w:rsidP="00790154"/>
    <w:p w14:paraId="6ED3945A" w14:textId="77777777" w:rsidR="002F3E46" w:rsidRDefault="002F3E46" w:rsidP="00523D37">
      <w:pPr>
        <w:rPr>
          <w:lang w:bidi="ar-EG"/>
        </w:rPr>
      </w:pPr>
    </w:p>
    <w:p w14:paraId="45EF410C" w14:textId="77777777" w:rsidR="0012545F" w:rsidRDefault="0012545F">
      <w:pPr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069F490C" w14:textId="77777777" w:rsidR="00D23386" w:rsidRDefault="004C7F0E">
      <w:pPr>
        <w:pStyle w:val="Proposal"/>
      </w:pPr>
      <w:r>
        <w:lastRenderedPageBreak/>
        <w:t>SUP</w:t>
      </w:r>
      <w:r>
        <w:tab/>
        <w:t>IAP/39A3/1</w:t>
      </w:r>
    </w:p>
    <w:p w14:paraId="27C2031D" w14:textId="77777777" w:rsidR="00851760" w:rsidRPr="00410333" w:rsidRDefault="004C7F0E" w:rsidP="00E952D6">
      <w:pPr>
        <w:pStyle w:val="ResNo"/>
        <w:rPr>
          <w:rtl/>
        </w:rPr>
      </w:pPr>
      <w:bookmarkStart w:id="1" w:name="_Toc349551633"/>
      <w:bookmarkStart w:id="2" w:name="RES_77"/>
      <w:r w:rsidRPr="00410333">
        <w:rPr>
          <w:rFonts w:hint="cs"/>
          <w:rtl/>
        </w:rPr>
        <w:t xml:space="preserve">القرار </w:t>
      </w:r>
      <w:r w:rsidRPr="00410333">
        <w:rPr>
          <w:rStyle w:val="href"/>
        </w:rPr>
        <w:t>77</w:t>
      </w:r>
      <w:r w:rsidRPr="00410333">
        <w:rPr>
          <w:rFonts w:hint="cs"/>
          <w:rtl/>
        </w:rPr>
        <w:t xml:space="preserve"> (المراجَع في الحمامات، </w:t>
      </w:r>
      <w:r w:rsidRPr="00410333">
        <w:t>2016</w:t>
      </w:r>
      <w:r w:rsidRPr="00410333">
        <w:rPr>
          <w:rFonts w:hint="cs"/>
          <w:rtl/>
        </w:rPr>
        <w:t>)</w:t>
      </w:r>
      <w:bookmarkEnd w:id="1"/>
    </w:p>
    <w:p w14:paraId="58FE3A63" w14:textId="77777777" w:rsidR="00851760" w:rsidRPr="00410333" w:rsidRDefault="004C7F0E" w:rsidP="00E952D6">
      <w:pPr>
        <w:pStyle w:val="Restitle"/>
        <w:rPr>
          <w:rtl/>
        </w:rPr>
      </w:pPr>
      <w:bookmarkStart w:id="3" w:name="_Toc349551634"/>
      <w:bookmarkEnd w:id="2"/>
      <w:r w:rsidRPr="00410333">
        <w:rPr>
          <w:rFonts w:eastAsia="SimSun" w:hint="cs"/>
          <w:rtl/>
        </w:rPr>
        <w:t xml:space="preserve">تعزيز أعمال التقييس المتعلقة بالتوصيل الشبكي المعرّف بالبرمجيات </w:t>
      </w:r>
      <w:r w:rsidRPr="00410333">
        <w:rPr>
          <w:rFonts w:eastAsia="SimSun"/>
        </w:rPr>
        <w:t>(SDN)</w:t>
      </w:r>
      <w:r w:rsidRPr="00410333">
        <w:rPr>
          <w:rFonts w:eastAsia="SimSun"/>
          <w:rtl/>
        </w:rPr>
        <w:br/>
      </w:r>
      <w:r w:rsidRPr="00410333">
        <w:rPr>
          <w:rFonts w:eastAsia="SimSun" w:hint="cs"/>
          <w:rtl/>
        </w:rPr>
        <w:t>في قطاع تقييس الاتصالات للاتحاد الدولي للاتصالات</w:t>
      </w:r>
      <w:bookmarkEnd w:id="3"/>
    </w:p>
    <w:p w14:paraId="2C12D36A" w14:textId="77777777" w:rsidR="00851760" w:rsidRPr="005F71A3" w:rsidRDefault="004C7F0E" w:rsidP="00E952D6">
      <w:pPr>
        <w:pStyle w:val="Resref"/>
        <w:rPr>
          <w:iCs w:val="0"/>
          <w:rtl/>
          <w:lang w:bidi="ar-EG"/>
        </w:rPr>
      </w:pPr>
      <w:r w:rsidRPr="005F71A3">
        <w:rPr>
          <w:rFonts w:hint="cs"/>
          <w:rtl/>
        </w:rPr>
        <w:t xml:space="preserve">(دبي، </w:t>
      </w:r>
      <w:r w:rsidRPr="005F71A3">
        <w:t>2012</w:t>
      </w:r>
      <w:r w:rsidRPr="005F71A3">
        <w:rPr>
          <w:rFonts w:hint="cs"/>
          <w:rtl/>
          <w:lang w:bidi="ar-EG"/>
        </w:rPr>
        <w:t xml:space="preserve">؛ الحمامات، </w:t>
      </w:r>
      <w:r w:rsidRPr="005F71A3">
        <w:rPr>
          <w:lang w:bidi="ar-EG"/>
        </w:rPr>
        <w:t>2016</w:t>
      </w:r>
      <w:r w:rsidRPr="005F71A3">
        <w:rPr>
          <w:rFonts w:hint="cs"/>
          <w:rtl/>
          <w:lang w:bidi="ar-EG"/>
        </w:rPr>
        <w:t>)</w:t>
      </w:r>
    </w:p>
    <w:p w14:paraId="69454F1D" w14:textId="77777777" w:rsidR="00851760" w:rsidRDefault="004C7F0E" w:rsidP="00165F8F">
      <w:pPr>
        <w:pStyle w:val="Normalaftertitle"/>
        <w:rPr>
          <w:rtl/>
          <w:lang w:bidi="ar-EG"/>
        </w:rPr>
      </w:pPr>
      <w:r w:rsidRPr="00410333">
        <w:rPr>
          <w:rFonts w:hint="cs"/>
          <w:rtl/>
        </w:rPr>
        <w:t xml:space="preserve">إن الجمعية العالمية لتقييس الاتصالات (الحمامات، </w:t>
      </w:r>
      <w:r w:rsidRPr="00410333">
        <w:t>2016</w:t>
      </w:r>
      <w:r w:rsidRPr="00410333">
        <w:rPr>
          <w:rFonts w:hint="cs"/>
          <w:rtl/>
          <w:lang w:bidi="ar-EG"/>
        </w:rPr>
        <w:t>)،</w:t>
      </w:r>
    </w:p>
    <w:p w14:paraId="2B16A5AF" w14:textId="78EDC855" w:rsidR="00647705" w:rsidRPr="00EF7ECB" w:rsidRDefault="004C7F0E" w:rsidP="007E6102">
      <w:pPr>
        <w:pStyle w:val="Reasons"/>
        <w:tabs>
          <w:tab w:val="clear" w:pos="794"/>
          <w:tab w:val="clear" w:pos="1191"/>
          <w:tab w:val="left" w:pos="850"/>
        </w:tabs>
        <w:rPr>
          <w:b w:val="0"/>
          <w:bCs w:val="0"/>
          <w:rtl/>
          <w:lang w:bidi="ar-EG"/>
        </w:rPr>
      </w:pPr>
      <w:r w:rsidRPr="00EF7ECB">
        <w:rPr>
          <w:rtl/>
        </w:rPr>
        <w:t>الأسباب:</w:t>
      </w:r>
      <w:r w:rsidRPr="00EF7ECB">
        <w:rPr>
          <w:b w:val="0"/>
          <w:bCs w:val="0"/>
        </w:rPr>
        <w:tab/>
      </w:r>
      <w:r w:rsidR="005239FD" w:rsidRPr="00EF7ECB">
        <w:rPr>
          <w:rFonts w:hint="cs"/>
          <w:b w:val="0"/>
          <w:bCs w:val="0"/>
          <w:rtl/>
        </w:rPr>
        <w:t>أسفر القرار 77</w:t>
      </w:r>
      <w:r w:rsidR="004C46FA" w:rsidRPr="00EF7ECB">
        <w:rPr>
          <w:b w:val="0"/>
          <w:bCs w:val="0"/>
          <w:rtl/>
        </w:rPr>
        <w:t xml:space="preserve"> ل</w:t>
      </w:r>
      <w:r w:rsidR="005239FD" w:rsidRPr="00EF7ECB">
        <w:rPr>
          <w:rFonts w:hint="cs"/>
          <w:b w:val="0"/>
          <w:bCs w:val="0"/>
          <w:rtl/>
        </w:rPr>
        <w:t>ل</w:t>
      </w:r>
      <w:r w:rsidR="004C46FA" w:rsidRPr="00EF7ECB">
        <w:rPr>
          <w:b w:val="0"/>
          <w:bCs w:val="0"/>
          <w:rtl/>
        </w:rPr>
        <w:t>جمعية العالمية لتقييس الاتصالات لعام </w:t>
      </w:r>
      <w:r w:rsidR="004C46FA" w:rsidRPr="00EF7ECB">
        <w:rPr>
          <w:b w:val="0"/>
          <w:bCs w:val="0"/>
        </w:rPr>
        <w:t>2012</w:t>
      </w:r>
      <w:r w:rsidR="004C46FA" w:rsidRPr="00EF7ECB">
        <w:rPr>
          <w:b w:val="0"/>
          <w:bCs w:val="0"/>
          <w:rtl/>
          <w:lang w:bidi="ar-EG"/>
        </w:rPr>
        <w:t xml:space="preserve"> </w:t>
      </w:r>
      <w:r w:rsidR="005239FD" w:rsidRPr="00EF7ECB">
        <w:rPr>
          <w:rFonts w:hint="cs"/>
          <w:b w:val="0"/>
          <w:bCs w:val="0"/>
          <w:rtl/>
          <w:lang w:bidi="ar-EG"/>
        </w:rPr>
        <w:t>عن تركيز</w:t>
      </w:r>
      <w:r w:rsidR="004C46FA" w:rsidRPr="00EF7ECB">
        <w:rPr>
          <w:b w:val="0"/>
          <w:bCs w:val="0"/>
          <w:rtl/>
        </w:rPr>
        <w:t xml:space="preserve"> أنشطة </w:t>
      </w:r>
      <w:r w:rsidR="004C46FA" w:rsidRPr="00EF7ECB">
        <w:rPr>
          <w:b w:val="0"/>
          <w:bCs w:val="0"/>
          <w:rtl/>
          <w:lang w:bidi="ar-EG"/>
        </w:rPr>
        <w:t>التوصيل الشبكي المعرَّف بالبرمجيات </w:t>
      </w:r>
      <w:r w:rsidR="004C46FA" w:rsidRPr="00EF7ECB">
        <w:rPr>
          <w:b w:val="0"/>
          <w:bCs w:val="0"/>
          <w:lang w:bidi="ar-EG"/>
        </w:rPr>
        <w:t>(SDN)</w:t>
      </w:r>
      <w:r w:rsidR="004C46FA" w:rsidRPr="00EF7ECB">
        <w:rPr>
          <w:b w:val="0"/>
          <w:bCs w:val="0"/>
          <w:rtl/>
          <w:lang w:bidi="ar-EG"/>
        </w:rPr>
        <w:t xml:space="preserve"> في قطاع تقييس الاتصالات</w:t>
      </w:r>
      <w:r w:rsidR="005239FD" w:rsidRPr="00EF7ECB">
        <w:rPr>
          <w:rFonts w:hint="cs"/>
          <w:b w:val="0"/>
          <w:bCs w:val="0"/>
          <w:rtl/>
          <w:lang w:bidi="ar-EG"/>
        </w:rPr>
        <w:t xml:space="preserve"> بالاتحاد</w:t>
      </w:r>
      <w:r w:rsidR="004C46FA" w:rsidRPr="00EF7ECB">
        <w:rPr>
          <w:b w:val="0"/>
          <w:bCs w:val="0"/>
          <w:rtl/>
          <w:lang w:bidi="ar-EG"/>
        </w:rPr>
        <w:t>.</w:t>
      </w:r>
      <w:r w:rsidR="004C46FA" w:rsidRPr="00EF7ECB">
        <w:rPr>
          <w:rFonts w:hint="cs"/>
          <w:b w:val="0"/>
          <w:bCs w:val="0"/>
          <w:rtl/>
          <w:lang w:bidi="ar-EG"/>
        </w:rPr>
        <w:t xml:space="preserve"> </w:t>
      </w:r>
      <w:r w:rsidR="005239FD" w:rsidRPr="00EF7ECB">
        <w:rPr>
          <w:rFonts w:hint="cs"/>
          <w:b w:val="0"/>
          <w:bCs w:val="0"/>
          <w:rtl/>
          <w:lang w:bidi="ar-EG"/>
        </w:rPr>
        <w:t>وعدلت الجمعية في عام 2016 القرار 77 بحيث تكلف لجنة الدراسات</w:t>
      </w:r>
      <w:r w:rsidR="0062563E" w:rsidRPr="00EF7ECB">
        <w:rPr>
          <w:rFonts w:hint="eastAsia"/>
          <w:b w:val="0"/>
          <w:bCs w:val="0"/>
          <w:rtl/>
          <w:lang w:bidi="ar-EG"/>
        </w:rPr>
        <w:t> </w:t>
      </w:r>
      <w:r w:rsidR="005239FD" w:rsidRPr="00EF7ECB">
        <w:rPr>
          <w:rFonts w:hint="cs"/>
          <w:b w:val="0"/>
          <w:bCs w:val="0"/>
          <w:rtl/>
          <w:lang w:bidi="ar-EG"/>
        </w:rPr>
        <w:t xml:space="preserve">13 بمواصلة العمل في نشاط التنسيق المشترك بشأن </w:t>
      </w:r>
      <w:r w:rsidR="005239FD" w:rsidRPr="00EF7ECB">
        <w:rPr>
          <w:b w:val="0"/>
          <w:bCs w:val="0"/>
          <w:rtl/>
          <w:lang w:bidi="ar-EG"/>
        </w:rPr>
        <w:t>التوصيل الشبكي المعرَّف بالبرمجيات </w:t>
      </w:r>
      <w:r w:rsidR="005239FD" w:rsidRPr="00EF7ECB">
        <w:rPr>
          <w:b w:val="0"/>
          <w:bCs w:val="0"/>
          <w:lang w:bidi="ar-EG"/>
        </w:rPr>
        <w:t>(JCA-SDN)</w:t>
      </w:r>
      <w:r w:rsidR="005239FD" w:rsidRPr="00EF7ECB">
        <w:rPr>
          <w:rFonts w:hint="cs"/>
          <w:b w:val="0"/>
          <w:bCs w:val="0"/>
          <w:rtl/>
        </w:rPr>
        <w:t xml:space="preserve">. ومنذ ذلك الحين، تم تنفيذ الكثير من الأعمال بشأن التوصيل الشبكي المعرّف بالبرمجيات أو </w:t>
      </w:r>
      <w:r w:rsidR="005239FD" w:rsidRPr="00EF7ECB">
        <w:rPr>
          <w:rFonts w:hint="cs"/>
          <w:b w:val="0"/>
          <w:bCs w:val="0"/>
          <w:rtl/>
          <w:lang w:bidi="ar-EG"/>
        </w:rPr>
        <w:t xml:space="preserve">هي حالياً في مرحلة متقدمة من التنفيذ في لجان الدراسات. </w:t>
      </w:r>
      <w:r w:rsidR="005B5A2A" w:rsidRPr="00EF7ECB">
        <w:rPr>
          <w:rFonts w:hint="cs"/>
          <w:b w:val="0"/>
          <w:bCs w:val="0"/>
          <w:rtl/>
          <w:lang w:bidi="ar-EG"/>
        </w:rPr>
        <w:t>وعلى وجه الخصوص، تحققت الإنجازات التالية فيما يتعلق ببنود منطوق هذا القرار:</w:t>
      </w:r>
      <w:r w:rsidR="007E6102">
        <w:rPr>
          <w:b w:val="0"/>
          <w:bCs w:val="0"/>
          <w:rtl/>
          <w:lang w:bidi="ar-EG"/>
        </w:rPr>
        <w:tab/>
      </w:r>
      <w:r w:rsidR="007E6102">
        <w:rPr>
          <w:b w:val="0"/>
          <w:bCs w:val="0"/>
          <w:rtl/>
          <w:lang w:bidi="ar-EG"/>
        </w:rPr>
        <w:br/>
      </w:r>
      <w:r w:rsidR="007E6102">
        <w:rPr>
          <w:b w:val="0"/>
          <w:bCs w:val="0"/>
          <w:rtl/>
          <w:lang w:bidi="ar-EG"/>
        </w:rPr>
        <w:br/>
      </w:r>
      <w:r w:rsidR="004C46FA" w:rsidRPr="00EF7ECB">
        <w:rPr>
          <w:b w:val="0"/>
          <w:bCs w:val="0"/>
          <w:lang w:bidi="ar-EG"/>
        </w:rPr>
        <w:sym w:font="Symbol" w:char="F0B7"/>
      </w:r>
      <w:r w:rsidR="004C46FA" w:rsidRPr="00EF7ECB">
        <w:rPr>
          <w:b w:val="0"/>
          <w:bCs w:val="0"/>
          <w:rtl/>
        </w:rPr>
        <w:tab/>
      </w:r>
      <w:r w:rsidR="00FE5993" w:rsidRPr="00EF7ECB">
        <w:rPr>
          <w:rFonts w:hint="cs"/>
          <w:b w:val="0"/>
          <w:bCs w:val="0"/>
          <w:i/>
          <w:iCs/>
          <w:rtl/>
        </w:rPr>
        <w:t>تقرر أن تكلف لجان دراسات قطاع تقييس الاتصالات بالاتحاد</w:t>
      </w:r>
      <w:r w:rsidR="007E6102">
        <w:rPr>
          <w:b w:val="0"/>
          <w:bCs w:val="0"/>
          <w:i/>
          <w:iCs/>
          <w:rtl/>
        </w:rPr>
        <w:tab/>
      </w:r>
      <w:r w:rsidR="007E6102">
        <w:rPr>
          <w:b w:val="0"/>
          <w:bCs w:val="0"/>
          <w:i/>
          <w:iCs/>
          <w:rtl/>
        </w:rPr>
        <w:br/>
      </w:r>
      <w:r w:rsidR="005B5A2A" w:rsidRPr="00EF7ECB">
        <w:rPr>
          <w:rFonts w:hint="cs"/>
          <w:b w:val="0"/>
          <w:bCs w:val="0"/>
          <w:rtl/>
        </w:rPr>
        <w:t xml:space="preserve">يستمر العمل بشأن تقييس </w:t>
      </w:r>
      <w:r w:rsidR="005B5A2A" w:rsidRPr="00EF7ECB">
        <w:rPr>
          <w:b w:val="0"/>
          <w:bCs w:val="0"/>
          <w:rtl/>
        </w:rPr>
        <w:t>التوصيل الشبكي المعرَّف بالبرمجيات </w:t>
      </w:r>
      <w:r w:rsidR="005B5A2A" w:rsidRPr="00EF7ECB">
        <w:rPr>
          <w:rFonts w:hint="cs"/>
          <w:b w:val="0"/>
          <w:bCs w:val="0"/>
          <w:rtl/>
        </w:rPr>
        <w:t>في لجان</w:t>
      </w:r>
      <w:r w:rsidR="00F637E1" w:rsidRPr="00EF7ECB">
        <w:rPr>
          <w:rFonts w:hint="cs"/>
          <w:b w:val="0"/>
          <w:bCs w:val="0"/>
          <w:rtl/>
        </w:rPr>
        <w:t xml:space="preserve"> دراسات</w:t>
      </w:r>
      <w:r w:rsidR="005B5A2A" w:rsidRPr="00EF7ECB">
        <w:rPr>
          <w:rFonts w:hint="cs"/>
          <w:b w:val="0"/>
          <w:bCs w:val="0"/>
          <w:rtl/>
        </w:rPr>
        <w:t xml:space="preserve"> قطاع تقييس الاتصالات بالاتحاد </w:t>
      </w:r>
      <w:r w:rsidR="005B5A2A" w:rsidRPr="00EF7ECB">
        <w:rPr>
          <w:b w:val="0"/>
          <w:bCs w:val="0"/>
        </w:rPr>
        <w:t>(ITU-T)</w:t>
      </w:r>
      <w:r w:rsidR="005B5A2A" w:rsidRPr="00EF7ECB">
        <w:rPr>
          <w:rFonts w:hint="cs"/>
          <w:b w:val="0"/>
          <w:bCs w:val="0"/>
          <w:rtl/>
        </w:rPr>
        <w:t xml:space="preserve"> 2 و5 و11 و12 و13 و15 و17، </w:t>
      </w:r>
      <w:r w:rsidR="004B70AE" w:rsidRPr="00EF7ECB">
        <w:rPr>
          <w:rFonts w:hint="cs"/>
          <w:b w:val="0"/>
          <w:bCs w:val="0"/>
          <w:rtl/>
        </w:rPr>
        <w:t>وتمت الموافقة</w:t>
      </w:r>
      <w:r w:rsidR="005B5A2A" w:rsidRPr="00EF7ECB">
        <w:rPr>
          <w:rFonts w:hint="cs"/>
          <w:b w:val="0"/>
          <w:bCs w:val="0"/>
          <w:rtl/>
        </w:rPr>
        <w:t xml:space="preserve"> على عدد كبير من التوصيات المتعلقة بالتوصيل الشبكي المعرّف بالبرمجيات. وعلى وجه الخصوص، أفادت لجنة الدراسات 15 في بيان اتصال موجه إلى الفريق الاستشاري لتقييس الاتصالات (الوثيقة</w:t>
      </w:r>
      <w:r w:rsidR="0032087C" w:rsidRPr="00EF7ECB">
        <w:rPr>
          <w:rFonts w:hint="eastAsia"/>
          <w:b w:val="0"/>
          <w:bCs w:val="0"/>
          <w:rtl/>
        </w:rPr>
        <w:t> </w:t>
      </w:r>
      <w:r w:rsidR="005B5A2A" w:rsidRPr="00EF7ECB">
        <w:rPr>
          <w:b w:val="0"/>
          <w:bCs w:val="0"/>
        </w:rPr>
        <w:t>TSAG</w:t>
      </w:r>
      <w:r w:rsidR="0032087C" w:rsidRPr="00EF7ECB">
        <w:rPr>
          <w:b w:val="0"/>
          <w:bCs w:val="0"/>
        </w:rPr>
        <w:noBreakHyphen/>
      </w:r>
      <w:r w:rsidR="005B5A2A" w:rsidRPr="00EF7ECB">
        <w:rPr>
          <w:b w:val="0"/>
          <w:bCs w:val="0"/>
        </w:rPr>
        <w:t>TD746</w:t>
      </w:r>
      <w:r w:rsidR="005B5A2A" w:rsidRPr="00EF7ECB">
        <w:rPr>
          <w:rFonts w:hint="cs"/>
          <w:b w:val="0"/>
          <w:bCs w:val="0"/>
          <w:rtl/>
        </w:rPr>
        <w:t>) بإنجاز الكثير من الأعمال ذات الصلة بهذا الموضوع، مما أسفر عن إعداد مجموعة توصيات تسم</w:t>
      </w:r>
      <w:r w:rsidR="007539DE" w:rsidRPr="00EF7ECB">
        <w:rPr>
          <w:rFonts w:hint="cs"/>
          <w:b w:val="0"/>
          <w:bCs w:val="0"/>
          <w:rtl/>
        </w:rPr>
        <w:t>ح بنشر استعمال التوصيل الشبكي المعرّف بالبرمجيات في شبكات النقل. وإضافةً إلى ذلك، تناولت لجنة الدراسات 15 استعمال التوصيل الشبكي المذكور من أجل إدارة شبكات النقل التي تدعم الاتصالات المتنقلة الدولية-2020. وخلصت لجنة الدراسات</w:t>
      </w:r>
      <w:r w:rsidR="0032087C" w:rsidRPr="00EF7ECB">
        <w:rPr>
          <w:rFonts w:hint="eastAsia"/>
          <w:b w:val="0"/>
          <w:bCs w:val="0"/>
          <w:rtl/>
        </w:rPr>
        <w:t> </w:t>
      </w:r>
      <w:r w:rsidR="007539DE" w:rsidRPr="00EF7ECB">
        <w:rPr>
          <w:rFonts w:hint="cs"/>
          <w:b w:val="0"/>
          <w:bCs w:val="0"/>
          <w:rtl/>
        </w:rPr>
        <w:t xml:space="preserve">15 إلى أن القرار 77 </w:t>
      </w:r>
      <w:r w:rsidR="00FE5993" w:rsidRPr="00EF7ECB">
        <w:rPr>
          <w:rFonts w:hint="cs"/>
          <w:b w:val="0"/>
          <w:bCs w:val="0"/>
          <w:rtl/>
        </w:rPr>
        <w:t>ينبغي إلغاؤه.</w:t>
      </w:r>
      <w:r w:rsidR="007E6102">
        <w:rPr>
          <w:b w:val="0"/>
          <w:bCs w:val="0"/>
          <w:rtl/>
        </w:rPr>
        <w:tab/>
      </w:r>
      <w:r w:rsidR="007E6102">
        <w:rPr>
          <w:b w:val="0"/>
          <w:bCs w:val="0"/>
          <w:rtl/>
        </w:rPr>
        <w:br/>
      </w:r>
      <w:r w:rsidR="007E6102">
        <w:rPr>
          <w:b w:val="0"/>
          <w:bCs w:val="0"/>
          <w:rtl/>
        </w:rPr>
        <w:br/>
      </w:r>
      <w:r w:rsidR="00FE5993" w:rsidRPr="00EF7ECB">
        <w:rPr>
          <w:b w:val="0"/>
          <w:bCs w:val="0"/>
        </w:rPr>
        <w:sym w:font="Symbol" w:char="F0B7"/>
      </w:r>
      <w:r w:rsidR="00FE5993" w:rsidRPr="00EF7ECB">
        <w:rPr>
          <w:b w:val="0"/>
          <w:bCs w:val="0"/>
          <w:rtl/>
        </w:rPr>
        <w:tab/>
      </w:r>
      <w:r w:rsidR="00FE5993" w:rsidRPr="00EF7ECB">
        <w:rPr>
          <w:rFonts w:hint="eastAsia"/>
          <w:b w:val="0"/>
          <w:bCs w:val="0"/>
          <w:i/>
          <w:iCs/>
          <w:rtl/>
        </w:rPr>
        <w:t>تكلف</w:t>
      </w:r>
      <w:r w:rsidR="00FE5993" w:rsidRPr="00EF7ECB">
        <w:rPr>
          <w:b w:val="0"/>
          <w:bCs w:val="0"/>
          <w:i/>
          <w:iCs/>
          <w:rtl/>
        </w:rPr>
        <w:t xml:space="preserve"> </w:t>
      </w:r>
      <w:r w:rsidR="00FE5993" w:rsidRPr="00EF7ECB">
        <w:rPr>
          <w:rFonts w:hint="eastAsia"/>
          <w:b w:val="0"/>
          <w:bCs w:val="0"/>
          <w:i/>
          <w:iCs/>
          <w:rtl/>
        </w:rPr>
        <w:t>لجنة</w:t>
      </w:r>
      <w:r w:rsidR="00FE5993" w:rsidRPr="00EF7ECB">
        <w:rPr>
          <w:b w:val="0"/>
          <w:bCs w:val="0"/>
          <w:i/>
          <w:iCs/>
          <w:rtl/>
        </w:rPr>
        <w:t xml:space="preserve"> </w:t>
      </w:r>
      <w:r w:rsidR="00FE5993" w:rsidRPr="00EF7ECB">
        <w:rPr>
          <w:rFonts w:hint="eastAsia"/>
          <w:b w:val="0"/>
          <w:bCs w:val="0"/>
          <w:i/>
          <w:iCs/>
          <w:rtl/>
        </w:rPr>
        <w:t>الدراسات </w:t>
      </w:r>
      <w:r w:rsidR="00FE5993" w:rsidRPr="00EF7ECB">
        <w:rPr>
          <w:b w:val="0"/>
          <w:bCs w:val="0"/>
          <w:i/>
          <w:iCs/>
        </w:rPr>
        <w:t>13</w:t>
      </w:r>
      <w:r w:rsidR="007E6102">
        <w:rPr>
          <w:b w:val="0"/>
          <w:bCs w:val="0"/>
          <w:i/>
          <w:iCs/>
          <w:rtl/>
        </w:rPr>
        <w:tab/>
      </w:r>
      <w:r w:rsidR="007E6102">
        <w:rPr>
          <w:b w:val="0"/>
          <w:bCs w:val="0"/>
          <w:rtl/>
        </w:rPr>
        <w:br/>
      </w:r>
      <w:r w:rsidR="007539DE" w:rsidRPr="00EF7ECB">
        <w:rPr>
          <w:rFonts w:hint="cs"/>
          <w:b w:val="0"/>
          <w:bCs w:val="0"/>
          <w:rtl/>
        </w:rPr>
        <w:t xml:space="preserve">انتهت أعمال نشاط التنسيق المشترك بشأن </w:t>
      </w:r>
      <w:r w:rsidR="007539DE" w:rsidRPr="00EF7ECB">
        <w:rPr>
          <w:b w:val="0"/>
          <w:bCs w:val="0"/>
          <w:rtl/>
        </w:rPr>
        <w:t>التوصيل الشبكي المعرَّف بالبرمجيات </w:t>
      </w:r>
      <w:r w:rsidR="007539DE" w:rsidRPr="00EF7ECB">
        <w:rPr>
          <w:b w:val="0"/>
          <w:bCs w:val="0"/>
        </w:rPr>
        <w:t>(JCA-SDN)</w:t>
      </w:r>
      <w:r w:rsidR="007539DE" w:rsidRPr="00EF7ECB">
        <w:rPr>
          <w:rFonts w:hint="cs"/>
          <w:b w:val="0"/>
          <w:bCs w:val="0"/>
          <w:rtl/>
        </w:rPr>
        <w:t xml:space="preserve"> في 9 نوفمبر 2017 بإصدار خارطة طريق لمعايير </w:t>
      </w:r>
      <w:r w:rsidR="007539DE" w:rsidRPr="00EF7ECB">
        <w:rPr>
          <w:b w:val="0"/>
          <w:bCs w:val="0"/>
          <w:rtl/>
        </w:rPr>
        <w:t>التوصيل الشبكي المعرَّف بالبرمجيات</w:t>
      </w:r>
      <w:r w:rsidR="007539DE" w:rsidRPr="00EF7ECB">
        <w:rPr>
          <w:rFonts w:hint="cs"/>
          <w:b w:val="0"/>
          <w:bCs w:val="0"/>
          <w:rtl/>
        </w:rPr>
        <w:t xml:space="preserve">. وأصبحت أعمال التنسيق بشأن التوصيل الشبكي المذكور جزءاً من الأعمال العادية التي يضطلع بها نشاط التنسيق المشترك بشأن الاتصالات المتنقلة الدولية-2020 </w:t>
      </w:r>
      <w:r w:rsidR="007539DE" w:rsidRPr="00EF7ECB">
        <w:rPr>
          <w:b w:val="0"/>
          <w:bCs w:val="0"/>
        </w:rPr>
        <w:t>(JCA-IMT2020)</w:t>
      </w:r>
      <w:r w:rsidR="007539DE" w:rsidRPr="00EF7ECB">
        <w:rPr>
          <w:rFonts w:hint="cs"/>
          <w:b w:val="0"/>
          <w:bCs w:val="0"/>
          <w:rtl/>
        </w:rPr>
        <w:t>.</w:t>
      </w:r>
      <w:r w:rsidR="007E6102">
        <w:rPr>
          <w:b w:val="0"/>
          <w:bCs w:val="0"/>
          <w:rtl/>
        </w:rPr>
        <w:br/>
      </w:r>
      <w:r w:rsidR="007E6102">
        <w:rPr>
          <w:b w:val="0"/>
          <w:bCs w:val="0"/>
          <w:rtl/>
        </w:rPr>
        <w:br/>
      </w:r>
      <w:r w:rsidR="00FE5993" w:rsidRPr="00EF7ECB">
        <w:rPr>
          <w:b w:val="0"/>
          <w:bCs w:val="0"/>
        </w:rPr>
        <w:sym w:font="Symbol" w:char="F0B7"/>
      </w:r>
      <w:r w:rsidR="00FE5993" w:rsidRPr="00EF7ECB">
        <w:rPr>
          <w:b w:val="0"/>
          <w:bCs w:val="0"/>
          <w:rtl/>
        </w:rPr>
        <w:tab/>
      </w:r>
      <w:r w:rsidR="00FE5993" w:rsidRPr="00EF7ECB">
        <w:rPr>
          <w:rFonts w:hint="cs"/>
          <w:b w:val="0"/>
          <w:bCs w:val="0"/>
          <w:i/>
          <w:iCs/>
          <w:rtl/>
        </w:rPr>
        <w:t>تكلف الفريق الاستشاري لتقييس الاتصالات</w:t>
      </w:r>
      <w:r w:rsidR="007E6102">
        <w:rPr>
          <w:b w:val="0"/>
          <w:bCs w:val="0"/>
          <w:i/>
          <w:iCs/>
          <w:rtl/>
        </w:rPr>
        <w:tab/>
      </w:r>
      <w:r w:rsidR="007E6102">
        <w:rPr>
          <w:b w:val="0"/>
          <w:bCs w:val="0"/>
          <w:i/>
          <w:iCs/>
          <w:rtl/>
        </w:rPr>
        <w:br/>
      </w:r>
      <w:r w:rsidR="00647705" w:rsidRPr="00EF7ECB">
        <w:rPr>
          <w:rFonts w:hint="cs"/>
          <w:b w:val="0"/>
          <w:bCs w:val="0"/>
          <w:rtl/>
        </w:rPr>
        <w:t>لم تكن هناك حاجة إلى اتخاذ أي تدابير في فترة الدراسة 2017-2020.</w:t>
      </w:r>
      <w:r w:rsidR="007E6102">
        <w:rPr>
          <w:b w:val="0"/>
          <w:bCs w:val="0"/>
          <w:rtl/>
        </w:rPr>
        <w:tab/>
      </w:r>
      <w:r w:rsidR="007E6102">
        <w:rPr>
          <w:b w:val="0"/>
          <w:bCs w:val="0"/>
          <w:rtl/>
        </w:rPr>
        <w:br/>
      </w:r>
      <w:r w:rsidR="007E6102">
        <w:rPr>
          <w:b w:val="0"/>
          <w:bCs w:val="0"/>
          <w:rtl/>
        </w:rPr>
        <w:br/>
      </w:r>
      <w:r w:rsidR="00FE5993" w:rsidRPr="00EF7ECB">
        <w:rPr>
          <w:b w:val="0"/>
          <w:bCs w:val="0"/>
        </w:rPr>
        <w:sym w:font="Symbol" w:char="F0B7"/>
      </w:r>
      <w:r w:rsidR="00FE5993" w:rsidRPr="00EF7ECB">
        <w:rPr>
          <w:b w:val="0"/>
          <w:bCs w:val="0"/>
          <w:rtl/>
        </w:rPr>
        <w:tab/>
      </w:r>
      <w:r w:rsidR="00FE5993" w:rsidRPr="00EF7ECB">
        <w:rPr>
          <w:rFonts w:hint="cs"/>
          <w:b w:val="0"/>
          <w:bCs w:val="0"/>
          <w:i/>
          <w:iCs/>
          <w:rtl/>
        </w:rPr>
        <w:t>تكلف مدير مكتب تقييس الاتصالات</w:t>
      </w:r>
      <w:r w:rsidR="007E6102">
        <w:rPr>
          <w:b w:val="0"/>
          <w:bCs w:val="0"/>
          <w:i/>
          <w:iCs/>
          <w:rtl/>
        </w:rPr>
        <w:tab/>
      </w:r>
      <w:r w:rsidR="007E6102">
        <w:rPr>
          <w:b w:val="0"/>
          <w:bCs w:val="0"/>
          <w:i/>
          <w:iCs/>
          <w:rtl/>
        </w:rPr>
        <w:br/>
      </w:r>
      <w:r w:rsidR="00647705" w:rsidRPr="00EF7ECB">
        <w:rPr>
          <w:rFonts w:hint="cs"/>
          <w:b w:val="0"/>
          <w:bCs w:val="0"/>
          <w:rtl/>
        </w:rPr>
        <w:t xml:space="preserve">نظم مكتب تقييس الاتصالات عدداً من ورش العمل بشأن </w:t>
      </w:r>
      <w:r w:rsidR="00647705" w:rsidRPr="00EF7ECB">
        <w:rPr>
          <w:b w:val="0"/>
          <w:bCs w:val="0"/>
          <w:rtl/>
        </w:rPr>
        <w:t>التوصيل الشبكي المعرَّف بالبرمجيات</w:t>
      </w:r>
      <w:r w:rsidR="00647705" w:rsidRPr="00EF7ECB">
        <w:rPr>
          <w:rFonts w:hint="cs"/>
          <w:b w:val="0"/>
          <w:bCs w:val="0"/>
          <w:rtl/>
        </w:rPr>
        <w:t>.</w:t>
      </w:r>
      <w:r w:rsidR="007E6102">
        <w:rPr>
          <w:b w:val="0"/>
          <w:bCs w:val="0"/>
          <w:rtl/>
        </w:rPr>
        <w:tab/>
      </w:r>
      <w:r w:rsidR="007E6102">
        <w:rPr>
          <w:b w:val="0"/>
          <w:bCs w:val="0"/>
          <w:rtl/>
        </w:rPr>
        <w:br/>
      </w:r>
      <w:r w:rsidR="00647705" w:rsidRPr="00EF7ECB">
        <w:rPr>
          <w:rFonts w:hint="cs"/>
          <w:b w:val="0"/>
          <w:bCs w:val="0"/>
          <w:rtl/>
          <w:lang w:bidi="ar-EG"/>
        </w:rPr>
        <w:t xml:space="preserve">نظراً إلى أن التدابير التي يشملها القرار قد تم تنفيذها أو هي في مرحلة متقدمة من التنفيذ في لجان الدراسات وفي مكتب تقييس الاتصالات؛ وتماشياً </w:t>
      </w:r>
      <w:r w:rsidR="00647705" w:rsidRPr="00EF7ECB">
        <w:rPr>
          <w:b w:val="0"/>
          <w:bCs w:val="0"/>
          <w:rtl/>
          <w:lang w:bidi="ar-EG"/>
        </w:rPr>
        <w:t>مع المبادئ التوجيهية</w:t>
      </w:r>
      <w:r w:rsidR="00647705" w:rsidRPr="00EF7ECB">
        <w:rPr>
          <w:rFonts w:hint="cs"/>
          <w:b w:val="0"/>
          <w:bCs w:val="0"/>
          <w:rtl/>
          <w:lang w:bidi="ar-EG"/>
        </w:rPr>
        <w:t xml:space="preserve"> (القرار 1، الفقرة 3.1 د))</w:t>
      </w:r>
      <w:r w:rsidR="00647705" w:rsidRPr="00EF7ECB">
        <w:rPr>
          <w:b w:val="0"/>
          <w:bCs w:val="0"/>
          <w:rtl/>
          <w:lang w:bidi="ar-EG"/>
        </w:rPr>
        <w:t xml:space="preserve"> </w:t>
      </w:r>
      <w:r w:rsidR="00647705" w:rsidRPr="00EF7ECB">
        <w:rPr>
          <w:rFonts w:hint="cs"/>
          <w:b w:val="0"/>
          <w:bCs w:val="0"/>
          <w:rtl/>
          <w:lang w:bidi="ar-EG"/>
        </w:rPr>
        <w:t xml:space="preserve">التي تنص على </w:t>
      </w:r>
      <w:r w:rsidR="00647705" w:rsidRPr="00EF7ECB">
        <w:rPr>
          <w:b w:val="0"/>
          <w:bCs w:val="0"/>
          <w:rtl/>
          <w:lang w:bidi="ar-EG"/>
        </w:rPr>
        <w:t>أن القرارات ‏التي تصف الأعمال التي تم</w:t>
      </w:r>
      <w:r w:rsidR="0082175E" w:rsidRPr="00EF7ECB">
        <w:rPr>
          <w:rFonts w:hint="cs"/>
          <w:b w:val="0"/>
          <w:bCs w:val="0"/>
          <w:rtl/>
          <w:lang w:bidi="ar-EG"/>
        </w:rPr>
        <w:t> </w:t>
      </w:r>
      <w:r w:rsidR="00647705" w:rsidRPr="00EF7ECB">
        <w:rPr>
          <w:b w:val="0"/>
          <w:bCs w:val="0"/>
          <w:rtl/>
          <w:lang w:bidi="ar-EG"/>
        </w:rPr>
        <w:t xml:space="preserve">تنفيذها ينبغي إلغاؤها، </w:t>
      </w:r>
      <w:r w:rsidR="00647705" w:rsidRPr="00EF7ECB">
        <w:rPr>
          <w:rFonts w:hint="cs"/>
          <w:b w:val="0"/>
          <w:bCs w:val="0"/>
          <w:rtl/>
          <w:lang w:bidi="ar-EG"/>
        </w:rPr>
        <w:t>لن يكون القرار 77 المتعلق ب</w:t>
      </w:r>
      <w:r w:rsidR="00647705" w:rsidRPr="00EF7ECB">
        <w:rPr>
          <w:b w:val="0"/>
          <w:bCs w:val="0"/>
          <w:rtl/>
          <w:lang w:bidi="ar-EG"/>
        </w:rPr>
        <w:t>التوصيل الشبكي المعرَّف بالبرمجيات</w:t>
      </w:r>
      <w:r w:rsidR="00647705" w:rsidRPr="00EF7ECB">
        <w:rPr>
          <w:rFonts w:hint="cs"/>
          <w:b w:val="0"/>
          <w:bCs w:val="0"/>
          <w:rtl/>
          <w:lang w:bidi="ar-EG"/>
        </w:rPr>
        <w:t xml:space="preserve"> مطلوباً في فترة الدراسة المقبلة.</w:t>
      </w:r>
    </w:p>
    <w:p w14:paraId="1EDEF68E" w14:textId="77777777" w:rsidR="004C46FA" w:rsidRPr="004C46FA" w:rsidRDefault="004C46FA" w:rsidP="004C46FA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4C46FA" w:rsidRPr="004C46FA">
      <w:headerReference w:type="even" r:id="rId13"/>
      <w:headerReference w:type="default" r:id="rId14"/>
      <w:footerReference w:type="default" r:id="rId15"/>
      <w:pgSz w:w="11907" w:h="16840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52E0" w14:textId="77777777" w:rsidR="003E6A8F" w:rsidRDefault="003E6A8F" w:rsidP="002919E1">
      <w:r>
        <w:separator/>
      </w:r>
    </w:p>
    <w:p w14:paraId="3BB23F68" w14:textId="77777777" w:rsidR="003E6A8F" w:rsidRDefault="003E6A8F" w:rsidP="002919E1"/>
    <w:p w14:paraId="40373F24" w14:textId="77777777" w:rsidR="003E6A8F" w:rsidRDefault="003E6A8F" w:rsidP="002919E1"/>
    <w:p w14:paraId="227E110F" w14:textId="77777777" w:rsidR="003E6A8F" w:rsidRDefault="003E6A8F"/>
  </w:endnote>
  <w:endnote w:type="continuationSeparator" w:id="0">
    <w:p w14:paraId="03599BFE" w14:textId="77777777" w:rsidR="003E6A8F" w:rsidRDefault="003E6A8F" w:rsidP="002919E1">
      <w:r>
        <w:continuationSeparator/>
      </w:r>
    </w:p>
    <w:p w14:paraId="1FC1FF92" w14:textId="77777777" w:rsidR="003E6A8F" w:rsidRDefault="003E6A8F" w:rsidP="002919E1"/>
    <w:p w14:paraId="70764287" w14:textId="77777777" w:rsidR="003E6A8F" w:rsidRDefault="003E6A8F" w:rsidP="002919E1"/>
    <w:p w14:paraId="03E3219E" w14:textId="77777777" w:rsidR="003E6A8F" w:rsidRDefault="003E6A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907E" w14:textId="77777777" w:rsidR="00FC7FD8" w:rsidRPr="00FC7FD8" w:rsidRDefault="00FC7FD8" w:rsidP="00FC7FD8">
    <w:pPr>
      <w:tabs>
        <w:tab w:val="center" w:pos="5103"/>
        <w:tab w:val="right" w:pos="9639"/>
      </w:tabs>
      <w:bidi w:val="0"/>
      <w:spacing w:line="240" w:lineRule="auto"/>
      <w:jc w:val="left"/>
      <w:rPr>
        <w:sz w:val="16"/>
        <w:szCs w:val="16"/>
        <w:lang w:val="fr-FR"/>
      </w:rPr>
    </w:pPr>
    <w:r w:rsidRPr="00FC7FD8">
      <w:rPr>
        <w:sz w:val="16"/>
        <w:szCs w:val="16"/>
        <w:lang w:val="fr-FR"/>
      </w:rPr>
      <w:fldChar w:fldCharType="begin"/>
    </w:r>
    <w:r w:rsidRPr="00FC7FD8">
      <w:rPr>
        <w:sz w:val="16"/>
        <w:szCs w:val="16"/>
        <w:lang w:val="fr-FR"/>
      </w:rPr>
      <w:instrText xml:space="preserve"> FILENAME \p \* MERGEFORMAT </w:instrText>
    </w:r>
    <w:r w:rsidRPr="00FC7FD8">
      <w:rPr>
        <w:sz w:val="16"/>
        <w:szCs w:val="16"/>
        <w:lang w:val="fr-FR"/>
      </w:rPr>
      <w:fldChar w:fldCharType="separate"/>
    </w:r>
    <w:r w:rsidR="00B12AE2">
      <w:rPr>
        <w:noProof/>
        <w:sz w:val="16"/>
        <w:szCs w:val="16"/>
        <w:lang w:val="fr-FR"/>
      </w:rPr>
      <w:t>P:\ARA\ITU-T\CONF-T\WTSA20\000\039ADD03A.docx</w:t>
    </w:r>
    <w:r w:rsidRPr="00FC7FD8">
      <w:rPr>
        <w:sz w:val="16"/>
        <w:szCs w:val="16"/>
      </w:rPr>
      <w:fldChar w:fldCharType="end"/>
    </w:r>
    <w:proofErr w:type="gramStart"/>
    <w:r w:rsidRPr="004C7F0E">
      <w:rPr>
        <w:sz w:val="16"/>
        <w:szCs w:val="16"/>
        <w:lang w:val="fr-CH"/>
      </w:rPr>
      <w:t xml:space="preserve">  </w:t>
    </w:r>
    <w:r w:rsidRPr="00FC7FD8">
      <w:rPr>
        <w:sz w:val="16"/>
        <w:szCs w:val="16"/>
        <w:lang w:val="fr-FR"/>
      </w:rPr>
      <w:t xml:space="preserve"> (</w:t>
    </w:r>
    <w:proofErr w:type="gramEnd"/>
    <w:r w:rsidR="004C7F0E">
      <w:rPr>
        <w:sz w:val="16"/>
        <w:szCs w:val="16"/>
        <w:lang w:val="fr-FR"/>
      </w:rPr>
      <w:t>493233</w:t>
    </w:r>
    <w:r w:rsidRPr="00FC7FD8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A0AF" w14:textId="77777777" w:rsidR="003E6A8F" w:rsidRDefault="003E6A8F" w:rsidP="002919E1">
      <w:r>
        <w:t>___________________</w:t>
      </w:r>
    </w:p>
  </w:footnote>
  <w:footnote w:type="continuationSeparator" w:id="0">
    <w:p w14:paraId="1007F18E" w14:textId="77777777" w:rsidR="003E6A8F" w:rsidRDefault="003E6A8F" w:rsidP="002919E1">
      <w:r>
        <w:continuationSeparator/>
      </w:r>
    </w:p>
    <w:p w14:paraId="1BCA9E05" w14:textId="77777777" w:rsidR="003E6A8F" w:rsidRDefault="003E6A8F" w:rsidP="002919E1"/>
    <w:p w14:paraId="471CD997" w14:textId="77777777" w:rsidR="003E6A8F" w:rsidRDefault="003E6A8F" w:rsidP="002919E1"/>
    <w:p w14:paraId="38D46367" w14:textId="77777777" w:rsidR="003E6A8F" w:rsidRDefault="003E6A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8799" w14:textId="77777777" w:rsidR="00281F5F" w:rsidRDefault="00281F5F" w:rsidP="002919E1"/>
  <w:p w14:paraId="5B95C6CE" w14:textId="77777777" w:rsidR="00281F5F" w:rsidRDefault="00281F5F" w:rsidP="002919E1"/>
  <w:p w14:paraId="1BF8BEF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2848" w14:textId="77777777" w:rsidR="00281F5F" w:rsidRPr="0088384B" w:rsidRDefault="00281F5F" w:rsidP="004C46FA">
    <w:pPr>
      <w:spacing w:after="240"/>
      <w:jc w:val="center"/>
      <w:rPr>
        <w:rStyle w:val="PageNumber"/>
        <w:rtl/>
        <w:lang w:bidi="ar-EG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4C46FA">
      <w:rPr>
        <w:rStyle w:val="PageNumber"/>
        <w:rFonts w:hint="cs"/>
        <w:rtl/>
      </w:rPr>
      <w:t>الإضافة 3</w:t>
    </w:r>
    <w:r w:rsidR="004C46FA">
      <w:rPr>
        <w:rStyle w:val="PageNumber"/>
        <w:rtl/>
      </w:rPr>
      <w:br/>
    </w:r>
    <w:r w:rsidR="004C46FA">
      <w:rPr>
        <w:rStyle w:val="PageNumber"/>
        <w:rFonts w:hint="cs"/>
        <w:rtl/>
      </w:rPr>
      <w:t xml:space="preserve">للوثيقة </w:t>
    </w:r>
    <w:r w:rsidR="004C46FA">
      <w:rPr>
        <w:rStyle w:val="PageNumber"/>
      </w:rPr>
      <w:t>39-A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BE96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941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467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9094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413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C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51907"/>
    <w:rsid w:val="000558D0"/>
    <w:rsid w:val="00075A3F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537"/>
    <w:rsid w:val="0010363F"/>
    <w:rsid w:val="00123AA6"/>
    <w:rsid w:val="0012545F"/>
    <w:rsid w:val="00136B82"/>
    <w:rsid w:val="001464F2"/>
    <w:rsid w:val="00167364"/>
    <w:rsid w:val="001903B2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289F"/>
    <w:rsid w:val="002333A0"/>
    <w:rsid w:val="002543CF"/>
    <w:rsid w:val="0026062E"/>
    <w:rsid w:val="00260F50"/>
    <w:rsid w:val="00261EF7"/>
    <w:rsid w:val="00266EA9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2087C"/>
    <w:rsid w:val="0033737F"/>
    <w:rsid w:val="00353652"/>
    <w:rsid w:val="003569E1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3E6A8F"/>
    <w:rsid w:val="00400CD4"/>
    <w:rsid w:val="004147B9"/>
    <w:rsid w:val="00422C04"/>
    <w:rsid w:val="00423A40"/>
    <w:rsid w:val="00426144"/>
    <w:rsid w:val="004636E2"/>
    <w:rsid w:val="00470CBD"/>
    <w:rsid w:val="0047407D"/>
    <w:rsid w:val="00486B2B"/>
    <w:rsid w:val="004909DD"/>
    <w:rsid w:val="004A05E6"/>
    <w:rsid w:val="004A6230"/>
    <w:rsid w:val="004A6C66"/>
    <w:rsid w:val="004A7AA0"/>
    <w:rsid w:val="004B70AE"/>
    <w:rsid w:val="004C11BC"/>
    <w:rsid w:val="004C46FA"/>
    <w:rsid w:val="004C5C04"/>
    <w:rsid w:val="004C7F0E"/>
    <w:rsid w:val="004D0448"/>
    <w:rsid w:val="004D4AE6"/>
    <w:rsid w:val="004E2A5D"/>
    <w:rsid w:val="00505FCA"/>
    <w:rsid w:val="00510C2D"/>
    <w:rsid w:val="005166A4"/>
    <w:rsid w:val="005169F4"/>
    <w:rsid w:val="005210D1"/>
    <w:rsid w:val="00523146"/>
    <w:rsid w:val="00523275"/>
    <w:rsid w:val="005239FD"/>
    <w:rsid w:val="00523D37"/>
    <w:rsid w:val="00531DC7"/>
    <w:rsid w:val="005350B0"/>
    <w:rsid w:val="005431B5"/>
    <w:rsid w:val="00546A99"/>
    <w:rsid w:val="00553411"/>
    <w:rsid w:val="00554AE7"/>
    <w:rsid w:val="00564746"/>
    <w:rsid w:val="0056512C"/>
    <w:rsid w:val="005730DF"/>
    <w:rsid w:val="00576D0A"/>
    <w:rsid w:val="00576FCC"/>
    <w:rsid w:val="00584333"/>
    <w:rsid w:val="00586B66"/>
    <w:rsid w:val="005953EC"/>
    <w:rsid w:val="005B00A1"/>
    <w:rsid w:val="005B5A2A"/>
    <w:rsid w:val="005C29C8"/>
    <w:rsid w:val="005C3880"/>
    <w:rsid w:val="005C5D25"/>
    <w:rsid w:val="005D2606"/>
    <w:rsid w:val="005D6D48"/>
    <w:rsid w:val="005D72A4"/>
    <w:rsid w:val="005F05CC"/>
    <w:rsid w:val="005F5AD4"/>
    <w:rsid w:val="005F65DE"/>
    <w:rsid w:val="00613492"/>
    <w:rsid w:val="0062563E"/>
    <w:rsid w:val="00630905"/>
    <w:rsid w:val="006315B5"/>
    <w:rsid w:val="00647705"/>
    <w:rsid w:val="0065562F"/>
    <w:rsid w:val="006779A4"/>
    <w:rsid w:val="00680A38"/>
    <w:rsid w:val="00680A66"/>
    <w:rsid w:val="00681391"/>
    <w:rsid w:val="00694690"/>
    <w:rsid w:val="0069526C"/>
    <w:rsid w:val="006A12AC"/>
    <w:rsid w:val="006A2162"/>
    <w:rsid w:val="006B4B90"/>
    <w:rsid w:val="006B600C"/>
    <w:rsid w:val="006B658C"/>
    <w:rsid w:val="006D2674"/>
    <w:rsid w:val="006E38D0"/>
    <w:rsid w:val="006E465B"/>
    <w:rsid w:val="006E783E"/>
    <w:rsid w:val="006F70BF"/>
    <w:rsid w:val="00716B1D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539DE"/>
    <w:rsid w:val="007610E7"/>
    <w:rsid w:val="00764079"/>
    <w:rsid w:val="00770AA0"/>
    <w:rsid w:val="007710F5"/>
    <w:rsid w:val="00771F7E"/>
    <w:rsid w:val="00773E9C"/>
    <w:rsid w:val="00776F6B"/>
    <w:rsid w:val="00777694"/>
    <w:rsid w:val="00786A7E"/>
    <w:rsid w:val="00790154"/>
    <w:rsid w:val="007942FA"/>
    <w:rsid w:val="007A0802"/>
    <w:rsid w:val="007A3A06"/>
    <w:rsid w:val="007B1FCA"/>
    <w:rsid w:val="007C2C12"/>
    <w:rsid w:val="007C3CFA"/>
    <w:rsid w:val="007E0E8B"/>
    <w:rsid w:val="007E6102"/>
    <w:rsid w:val="007E6847"/>
    <w:rsid w:val="007E6B0A"/>
    <w:rsid w:val="007F08CA"/>
    <w:rsid w:val="007F6388"/>
    <w:rsid w:val="007F7FC3"/>
    <w:rsid w:val="00810482"/>
    <w:rsid w:val="00817568"/>
    <w:rsid w:val="008204AC"/>
    <w:rsid w:val="0082175E"/>
    <w:rsid w:val="008261C2"/>
    <w:rsid w:val="00830D96"/>
    <w:rsid w:val="008505C6"/>
    <w:rsid w:val="0085569D"/>
    <w:rsid w:val="00855B59"/>
    <w:rsid w:val="0085774F"/>
    <w:rsid w:val="008614B8"/>
    <w:rsid w:val="008657CB"/>
    <w:rsid w:val="00873A6F"/>
    <w:rsid w:val="0088384B"/>
    <w:rsid w:val="00884282"/>
    <w:rsid w:val="00893E53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8F5205"/>
    <w:rsid w:val="009004DF"/>
    <w:rsid w:val="00904AA5"/>
    <w:rsid w:val="00951718"/>
    <w:rsid w:val="00960962"/>
    <w:rsid w:val="00972CE0"/>
    <w:rsid w:val="009A3D30"/>
    <w:rsid w:val="009B4B37"/>
    <w:rsid w:val="009C13BE"/>
    <w:rsid w:val="009D5547"/>
    <w:rsid w:val="009D6348"/>
    <w:rsid w:val="009E5007"/>
    <w:rsid w:val="009E613F"/>
    <w:rsid w:val="009F042B"/>
    <w:rsid w:val="00A03FD6"/>
    <w:rsid w:val="00A045F7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1628"/>
    <w:rsid w:val="00A42ADC"/>
    <w:rsid w:val="00A66D2B"/>
    <w:rsid w:val="00A809E8"/>
    <w:rsid w:val="00A870AD"/>
    <w:rsid w:val="00A90843"/>
    <w:rsid w:val="00A9645C"/>
    <w:rsid w:val="00AA6493"/>
    <w:rsid w:val="00AA6EF1"/>
    <w:rsid w:val="00AB2A33"/>
    <w:rsid w:val="00AC1275"/>
    <w:rsid w:val="00AC7395"/>
    <w:rsid w:val="00AD162B"/>
    <w:rsid w:val="00AD690F"/>
    <w:rsid w:val="00AD69DD"/>
    <w:rsid w:val="00AE6B26"/>
    <w:rsid w:val="00AF1B56"/>
    <w:rsid w:val="00AF22C1"/>
    <w:rsid w:val="00AF3EFA"/>
    <w:rsid w:val="00AF41D1"/>
    <w:rsid w:val="00B01623"/>
    <w:rsid w:val="00B033DF"/>
    <w:rsid w:val="00B039AD"/>
    <w:rsid w:val="00B07CEE"/>
    <w:rsid w:val="00B12661"/>
    <w:rsid w:val="00B12AE2"/>
    <w:rsid w:val="00B16045"/>
    <w:rsid w:val="00B1667D"/>
    <w:rsid w:val="00B1714C"/>
    <w:rsid w:val="00B357E9"/>
    <w:rsid w:val="00B4164D"/>
    <w:rsid w:val="00B425C1"/>
    <w:rsid w:val="00B606BA"/>
    <w:rsid w:val="00B63EAC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4E09"/>
    <w:rsid w:val="00C3693C"/>
    <w:rsid w:val="00C53F6F"/>
    <w:rsid w:val="00C5489D"/>
    <w:rsid w:val="00C71759"/>
    <w:rsid w:val="00C813D5"/>
    <w:rsid w:val="00C8199C"/>
    <w:rsid w:val="00C84112"/>
    <w:rsid w:val="00C841EB"/>
    <w:rsid w:val="00C8665F"/>
    <w:rsid w:val="00C917B5"/>
    <w:rsid w:val="00C94DFA"/>
    <w:rsid w:val="00CA298C"/>
    <w:rsid w:val="00CB2BF9"/>
    <w:rsid w:val="00CB4101"/>
    <w:rsid w:val="00CB4300"/>
    <w:rsid w:val="00CB454E"/>
    <w:rsid w:val="00CC030E"/>
    <w:rsid w:val="00CC68C4"/>
    <w:rsid w:val="00CC79A4"/>
    <w:rsid w:val="00CD0FDE"/>
    <w:rsid w:val="00CE0E68"/>
    <w:rsid w:val="00CE5BA4"/>
    <w:rsid w:val="00D22259"/>
    <w:rsid w:val="00D23386"/>
    <w:rsid w:val="00D25120"/>
    <w:rsid w:val="00D26E67"/>
    <w:rsid w:val="00D419CB"/>
    <w:rsid w:val="00D44350"/>
    <w:rsid w:val="00D44E3F"/>
    <w:rsid w:val="00D51BB8"/>
    <w:rsid w:val="00D525F5"/>
    <w:rsid w:val="00D535D0"/>
    <w:rsid w:val="00D577D8"/>
    <w:rsid w:val="00D62C78"/>
    <w:rsid w:val="00D81703"/>
    <w:rsid w:val="00D82929"/>
    <w:rsid w:val="00D84214"/>
    <w:rsid w:val="00D943E5"/>
    <w:rsid w:val="00DA1AE0"/>
    <w:rsid w:val="00DC0219"/>
    <w:rsid w:val="00DC29DD"/>
    <w:rsid w:val="00DC7C0E"/>
    <w:rsid w:val="00DE7387"/>
    <w:rsid w:val="00DF2A6A"/>
    <w:rsid w:val="00DF3B72"/>
    <w:rsid w:val="00E10821"/>
    <w:rsid w:val="00E2489D"/>
    <w:rsid w:val="00E26520"/>
    <w:rsid w:val="00E343A3"/>
    <w:rsid w:val="00E35202"/>
    <w:rsid w:val="00E510CF"/>
    <w:rsid w:val="00E51BFA"/>
    <w:rsid w:val="00E621A3"/>
    <w:rsid w:val="00E833BC"/>
    <w:rsid w:val="00E8580E"/>
    <w:rsid w:val="00E97E21"/>
    <w:rsid w:val="00EA1B76"/>
    <w:rsid w:val="00EA77D7"/>
    <w:rsid w:val="00EC09B9"/>
    <w:rsid w:val="00ED048C"/>
    <w:rsid w:val="00EE60E9"/>
    <w:rsid w:val="00EF38AF"/>
    <w:rsid w:val="00EF7ECB"/>
    <w:rsid w:val="00F00143"/>
    <w:rsid w:val="00F055F8"/>
    <w:rsid w:val="00F10CB4"/>
    <w:rsid w:val="00F11B3D"/>
    <w:rsid w:val="00F146AC"/>
    <w:rsid w:val="00F14763"/>
    <w:rsid w:val="00F16212"/>
    <w:rsid w:val="00F16602"/>
    <w:rsid w:val="00F230AE"/>
    <w:rsid w:val="00F25B80"/>
    <w:rsid w:val="00F2685F"/>
    <w:rsid w:val="00F33A34"/>
    <w:rsid w:val="00F350C8"/>
    <w:rsid w:val="00F637E1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C7FD8"/>
    <w:rsid w:val="00FD0594"/>
    <w:rsid w:val="00FE599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C565BA"/>
  <w15:docId w15:val="{396629E4-DEB8-4B73-90EB-1BFD7A31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character" w:customStyle="1" w:styleId="href">
    <w:name w:val="href"/>
    <w:basedOn w:val="DefaultParagraphFont"/>
    <w:rsid w:val="00436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T17-WTSA.20-C-0039!A3!MSW-A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73386A9-50D8-4C16-97C9-4B6C78FDB7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97E98-A841-4540-A3C2-88039EF763A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7B99E2-CA63-4D94-AC56-AC473927E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T17-WTSA.20-C-0039!A3!MSW-A</vt:lpstr>
    </vt:vector>
  </TitlesOfParts>
  <Manager>General Secretariat - Pool</Manager>
  <Company>International Telecommunication Union (ITU)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T17-WTSA.20-C-0039!A3!MSW-A</dc:title>
  <dc:creator>Documents Proposals Manager (DPM)</dc:creator>
  <cp:keywords>DPM_v2021.3.2.1_prod</cp:keywords>
  <cp:lastModifiedBy>MS</cp:lastModifiedBy>
  <cp:revision>4</cp:revision>
  <cp:lastPrinted>2019-06-26T10:10:00Z</cp:lastPrinted>
  <dcterms:created xsi:type="dcterms:W3CDTF">2021-10-11T12:03:00Z</dcterms:created>
  <dcterms:modified xsi:type="dcterms:W3CDTF">2021-10-11T12:06:00Z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