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4934AF" w14:paraId="79C48CEE" w14:textId="77777777" w:rsidTr="009B0563">
        <w:trPr>
          <w:cantSplit/>
        </w:trPr>
        <w:tc>
          <w:tcPr>
            <w:tcW w:w="6613" w:type="dxa"/>
            <w:vAlign w:val="center"/>
          </w:tcPr>
          <w:p w14:paraId="6EA814B3" w14:textId="77777777" w:rsidR="009B0563" w:rsidRPr="004934AF" w:rsidRDefault="009B0563" w:rsidP="004B520A">
            <w:pPr>
              <w:rPr>
                <w:rFonts w:ascii="Verdana" w:hAnsi="Verdana" w:cs="Times New Roman Bold"/>
                <w:b/>
                <w:bCs/>
                <w:sz w:val="22"/>
                <w:szCs w:val="22"/>
              </w:rPr>
            </w:pPr>
            <w:r w:rsidRPr="004934AF">
              <w:rPr>
                <w:rFonts w:ascii="Verdana" w:hAnsi="Verdana" w:cs="Times New Roman Bold"/>
                <w:b/>
                <w:bCs/>
                <w:sz w:val="22"/>
                <w:szCs w:val="22"/>
              </w:rPr>
              <w:t>Asamblea Mundial de Normalización de las Telecomunicaciones (AMNT-20)</w:t>
            </w:r>
          </w:p>
          <w:p w14:paraId="412EFEA7" w14:textId="77777777" w:rsidR="009B0563" w:rsidRPr="004934AF" w:rsidRDefault="00B9677E" w:rsidP="00776E3D">
            <w:pPr>
              <w:spacing w:before="0"/>
              <w:rPr>
                <w:rFonts w:ascii="Verdana" w:hAnsi="Verdana" w:cs="Times New Roman Bold"/>
                <w:b/>
                <w:bCs/>
                <w:sz w:val="19"/>
                <w:szCs w:val="19"/>
              </w:rPr>
            </w:pPr>
            <w:r w:rsidRPr="004934AF">
              <w:rPr>
                <w:rFonts w:ascii="Verdana" w:hAnsi="Verdana" w:cs="Times New Roman Bold"/>
                <w:b/>
                <w:bCs/>
                <w:sz w:val="18"/>
                <w:szCs w:val="18"/>
              </w:rPr>
              <w:t>Ginebra</w:t>
            </w:r>
            <w:r w:rsidR="0094505C" w:rsidRPr="004934AF">
              <w:rPr>
                <w:rFonts w:ascii="Verdana" w:hAnsi="Verdana" w:cs="Times New Roman Bold"/>
                <w:b/>
                <w:bCs/>
                <w:sz w:val="18"/>
                <w:szCs w:val="18"/>
              </w:rPr>
              <w:t>,</w:t>
            </w:r>
            <w:r w:rsidR="00776E3D" w:rsidRPr="004934AF">
              <w:rPr>
                <w:rFonts w:ascii="Verdana" w:hAnsi="Verdana" w:cs="Times New Roman Bold"/>
                <w:b/>
                <w:bCs/>
                <w:sz w:val="18"/>
                <w:szCs w:val="18"/>
              </w:rPr>
              <w:t xml:space="preserve"> </w:t>
            </w:r>
            <w:r w:rsidR="0094505C" w:rsidRPr="004934AF">
              <w:rPr>
                <w:rFonts w:ascii="Verdana" w:hAnsi="Verdana" w:cs="Times New Roman Bold"/>
                <w:b/>
                <w:bCs/>
                <w:sz w:val="18"/>
                <w:szCs w:val="18"/>
              </w:rPr>
              <w:t>1</w:t>
            </w:r>
            <w:r w:rsidR="00776E3D" w:rsidRPr="004934AF">
              <w:rPr>
                <w:rFonts w:ascii="Verdana" w:hAnsi="Verdana" w:cs="Times New Roman Bold"/>
                <w:b/>
                <w:bCs/>
                <w:sz w:val="18"/>
                <w:szCs w:val="18"/>
              </w:rPr>
              <w:t>-</w:t>
            </w:r>
            <w:r w:rsidR="0094505C" w:rsidRPr="004934AF">
              <w:rPr>
                <w:rFonts w:ascii="Verdana" w:hAnsi="Verdana" w:cs="Times New Roman Bold"/>
                <w:b/>
                <w:bCs/>
                <w:sz w:val="18"/>
                <w:szCs w:val="18"/>
              </w:rPr>
              <w:t xml:space="preserve">9 </w:t>
            </w:r>
            <w:r w:rsidR="00776E3D" w:rsidRPr="004934AF">
              <w:rPr>
                <w:rFonts w:ascii="Verdana" w:hAnsi="Verdana" w:cs="Times New Roman Bold"/>
                <w:b/>
                <w:bCs/>
                <w:sz w:val="18"/>
                <w:szCs w:val="18"/>
              </w:rPr>
              <w:t>de marzo de 202</w:t>
            </w:r>
            <w:r w:rsidR="0094505C" w:rsidRPr="004934AF">
              <w:rPr>
                <w:rFonts w:ascii="Verdana" w:hAnsi="Verdana" w:cs="Times New Roman Bold"/>
                <w:b/>
                <w:bCs/>
                <w:sz w:val="18"/>
                <w:szCs w:val="18"/>
              </w:rPr>
              <w:t>2</w:t>
            </w:r>
          </w:p>
        </w:tc>
        <w:tc>
          <w:tcPr>
            <w:tcW w:w="3198" w:type="dxa"/>
            <w:vAlign w:val="center"/>
          </w:tcPr>
          <w:p w14:paraId="42EC2E99" w14:textId="77777777" w:rsidR="009B0563" w:rsidRPr="004934AF" w:rsidRDefault="009B0563" w:rsidP="009B0563">
            <w:pPr>
              <w:spacing w:before="0"/>
            </w:pPr>
            <w:r w:rsidRPr="004934AF">
              <w:rPr>
                <w:noProof/>
                <w:lang w:eastAsia="zh-CN"/>
              </w:rPr>
              <w:drawing>
                <wp:inline distT="0" distB="0" distL="0" distR="0" wp14:anchorId="40C8A449" wp14:editId="6C53692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4934AF" w14:paraId="53BBC88D" w14:textId="77777777" w:rsidTr="004B520A">
        <w:trPr>
          <w:cantSplit/>
        </w:trPr>
        <w:tc>
          <w:tcPr>
            <w:tcW w:w="6613" w:type="dxa"/>
            <w:tcBorders>
              <w:bottom w:val="single" w:sz="12" w:space="0" w:color="auto"/>
            </w:tcBorders>
          </w:tcPr>
          <w:p w14:paraId="045F6F24" w14:textId="77777777" w:rsidR="00F0220A" w:rsidRPr="004934AF" w:rsidRDefault="00F0220A" w:rsidP="004B520A">
            <w:pPr>
              <w:spacing w:before="0"/>
            </w:pPr>
          </w:p>
        </w:tc>
        <w:tc>
          <w:tcPr>
            <w:tcW w:w="3198" w:type="dxa"/>
            <w:tcBorders>
              <w:bottom w:val="single" w:sz="12" w:space="0" w:color="auto"/>
            </w:tcBorders>
          </w:tcPr>
          <w:p w14:paraId="5C37621D" w14:textId="77777777" w:rsidR="00F0220A" w:rsidRPr="004934AF" w:rsidRDefault="00F0220A" w:rsidP="004B520A">
            <w:pPr>
              <w:spacing w:before="0"/>
            </w:pPr>
          </w:p>
        </w:tc>
      </w:tr>
      <w:tr w:rsidR="005A374D" w:rsidRPr="004934AF" w14:paraId="7B6F3F21" w14:textId="77777777" w:rsidTr="004B520A">
        <w:trPr>
          <w:cantSplit/>
        </w:trPr>
        <w:tc>
          <w:tcPr>
            <w:tcW w:w="6613" w:type="dxa"/>
            <w:tcBorders>
              <w:top w:val="single" w:sz="12" w:space="0" w:color="auto"/>
            </w:tcBorders>
          </w:tcPr>
          <w:p w14:paraId="6609B724" w14:textId="77777777" w:rsidR="005A374D" w:rsidRPr="004934AF" w:rsidRDefault="005A374D" w:rsidP="004B520A">
            <w:pPr>
              <w:spacing w:before="0"/>
            </w:pPr>
          </w:p>
        </w:tc>
        <w:tc>
          <w:tcPr>
            <w:tcW w:w="3198" w:type="dxa"/>
          </w:tcPr>
          <w:p w14:paraId="1DC3CBD4" w14:textId="77777777" w:rsidR="005A374D" w:rsidRPr="004934AF" w:rsidRDefault="005A374D" w:rsidP="004B520A">
            <w:pPr>
              <w:spacing w:before="0"/>
              <w:rPr>
                <w:rFonts w:ascii="Verdana" w:hAnsi="Verdana"/>
                <w:b/>
                <w:bCs/>
                <w:sz w:val="20"/>
              </w:rPr>
            </w:pPr>
          </w:p>
        </w:tc>
      </w:tr>
      <w:tr w:rsidR="00E83D45" w:rsidRPr="004934AF" w14:paraId="17F5B5D2" w14:textId="77777777" w:rsidTr="004B520A">
        <w:trPr>
          <w:cantSplit/>
        </w:trPr>
        <w:tc>
          <w:tcPr>
            <w:tcW w:w="6613" w:type="dxa"/>
          </w:tcPr>
          <w:p w14:paraId="75D5E140" w14:textId="77777777" w:rsidR="00E83D45" w:rsidRPr="004934AF" w:rsidRDefault="00E83D45" w:rsidP="004B520A">
            <w:pPr>
              <w:pStyle w:val="Committee"/>
              <w:framePr w:hSpace="0" w:wrap="auto" w:hAnchor="text" w:yAlign="inline"/>
              <w:rPr>
                <w:lang w:val="es-ES_tradnl"/>
              </w:rPr>
            </w:pPr>
            <w:r w:rsidRPr="004934AF">
              <w:rPr>
                <w:lang w:val="es-ES_tradnl"/>
              </w:rPr>
              <w:t>SESIÓN PLENARIA</w:t>
            </w:r>
          </w:p>
        </w:tc>
        <w:tc>
          <w:tcPr>
            <w:tcW w:w="3198" w:type="dxa"/>
          </w:tcPr>
          <w:p w14:paraId="292F55A7" w14:textId="77777777" w:rsidR="00E83D45" w:rsidRPr="004934AF" w:rsidRDefault="00E83D45" w:rsidP="002E5627">
            <w:pPr>
              <w:pStyle w:val="DocNumber"/>
              <w:rPr>
                <w:bCs/>
                <w:lang w:val="es-ES_tradnl"/>
              </w:rPr>
            </w:pPr>
            <w:r w:rsidRPr="004934AF">
              <w:rPr>
                <w:lang w:val="es-ES_tradnl"/>
              </w:rPr>
              <w:t>Addéndum 27 al</w:t>
            </w:r>
            <w:r w:rsidRPr="004934AF">
              <w:rPr>
                <w:lang w:val="es-ES_tradnl"/>
              </w:rPr>
              <w:br/>
              <w:t>Documento 39-S</w:t>
            </w:r>
          </w:p>
        </w:tc>
      </w:tr>
      <w:tr w:rsidR="00E83D45" w:rsidRPr="004934AF" w14:paraId="60CCB382" w14:textId="77777777" w:rsidTr="004B520A">
        <w:trPr>
          <w:cantSplit/>
        </w:trPr>
        <w:tc>
          <w:tcPr>
            <w:tcW w:w="6613" w:type="dxa"/>
          </w:tcPr>
          <w:p w14:paraId="484CFE13" w14:textId="77777777" w:rsidR="00E83D45" w:rsidRPr="004934AF" w:rsidRDefault="00E83D45" w:rsidP="004B520A">
            <w:pPr>
              <w:spacing w:before="0" w:after="48"/>
              <w:rPr>
                <w:rFonts w:ascii="Verdana" w:hAnsi="Verdana"/>
                <w:b/>
                <w:smallCaps/>
                <w:sz w:val="20"/>
              </w:rPr>
            </w:pPr>
          </w:p>
        </w:tc>
        <w:tc>
          <w:tcPr>
            <w:tcW w:w="3198" w:type="dxa"/>
          </w:tcPr>
          <w:p w14:paraId="4CBBEF00" w14:textId="77777777" w:rsidR="00E83D45" w:rsidRPr="004934AF" w:rsidRDefault="00E83D45" w:rsidP="004B520A">
            <w:pPr>
              <w:spacing w:before="0"/>
              <w:rPr>
                <w:rFonts w:ascii="Verdana" w:hAnsi="Verdana"/>
                <w:b/>
                <w:bCs/>
                <w:sz w:val="20"/>
              </w:rPr>
            </w:pPr>
            <w:r w:rsidRPr="004934AF">
              <w:rPr>
                <w:rFonts w:ascii="Verdana" w:hAnsi="Verdana"/>
                <w:b/>
                <w:sz w:val="20"/>
              </w:rPr>
              <w:t>5 de mayo de 2021</w:t>
            </w:r>
          </w:p>
        </w:tc>
      </w:tr>
      <w:tr w:rsidR="00E83D45" w:rsidRPr="004934AF" w14:paraId="4FF175D8" w14:textId="77777777" w:rsidTr="004B520A">
        <w:trPr>
          <w:cantSplit/>
        </w:trPr>
        <w:tc>
          <w:tcPr>
            <w:tcW w:w="6613" w:type="dxa"/>
          </w:tcPr>
          <w:p w14:paraId="280F5A45" w14:textId="77777777" w:rsidR="00E83D45" w:rsidRPr="004934AF" w:rsidRDefault="00E83D45" w:rsidP="004B520A">
            <w:pPr>
              <w:spacing w:before="0"/>
            </w:pPr>
          </w:p>
        </w:tc>
        <w:tc>
          <w:tcPr>
            <w:tcW w:w="3198" w:type="dxa"/>
          </w:tcPr>
          <w:p w14:paraId="7006CCF3" w14:textId="77777777" w:rsidR="00E83D45" w:rsidRPr="004934AF" w:rsidRDefault="00E83D45" w:rsidP="004B520A">
            <w:pPr>
              <w:spacing w:before="0"/>
              <w:rPr>
                <w:rFonts w:ascii="Verdana" w:hAnsi="Verdana"/>
                <w:b/>
                <w:bCs/>
                <w:sz w:val="20"/>
              </w:rPr>
            </w:pPr>
            <w:r w:rsidRPr="004934AF">
              <w:rPr>
                <w:rFonts w:ascii="Verdana" w:hAnsi="Verdana"/>
                <w:b/>
                <w:sz w:val="20"/>
              </w:rPr>
              <w:t>Original: inglés</w:t>
            </w:r>
          </w:p>
        </w:tc>
      </w:tr>
      <w:tr w:rsidR="00681766" w:rsidRPr="004934AF" w14:paraId="0677FE98" w14:textId="77777777" w:rsidTr="004B520A">
        <w:trPr>
          <w:cantSplit/>
        </w:trPr>
        <w:tc>
          <w:tcPr>
            <w:tcW w:w="9811" w:type="dxa"/>
            <w:gridSpan w:val="2"/>
          </w:tcPr>
          <w:p w14:paraId="7D42CB23" w14:textId="77777777" w:rsidR="00681766" w:rsidRPr="004934AF" w:rsidRDefault="00681766" w:rsidP="004B520A">
            <w:pPr>
              <w:spacing w:before="0"/>
              <w:rPr>
                <w:rFonts w:ascii="Verdana" w:hAnsi="Verdana"/>
                <w:b/>
                <w:bCs/>
                <w:sz w:val="20"/>
              </w:rPr>
            </w:pPr>
          </w:p>
        </w:tc>
      </w:tr>
      <w:tr w:rsidR="00E83D45" w:rsidRPr="004934AF" w14:paraId="6A502266" w14:textId="77777777" w:rsidTr="004B520A">
        <w:trPr>
          <w:cantSplit/>
        </w:trPr>
        <w:tc>
          <w:tcPr>
            <w:tcW w:w="9811" w:type="dxa"/>
            <w:gridSpan w:val="2"/>
          </w:tcPr>
          <w:p w14:paraId="446ED0E1" w14:textId="77777777" w:rsidR="00E83D45" w:rsidRPr="004934AF" w:rsidRDefault="00E83D45" w:rsidP="004B520A">
            <w:pPr>
              <w:pStyle w:val="Source"/>
            </w:pPr>
            <w:r w:rsidRPr="004934AF">
              <w:t>Estados Miembros de la Comisión Interamericana de Telecomunicaciones (CITEL)</w:t>
            </w:r>
          </w:p>
        </w:tc>
      </w:tr>
      <w:tr w:rsidR="00E83D45" w:rsidRPr="004934AF" w14:paraId="25FBBAE0" w14:textId="77777777" w:rsidTr="004B520A">
        <w:trPr>
          <w:cantSplit/>
        </w:trPr>
        <w:tc>
          <w:tcPr>
            <w:tcW w:w="9811" w:type="dxa"/>
            <w:gridSpan w:val="2"/>
          </w:tcPr>
          <w:p w14:paraId="1F449B04" w14:textId="198D74E5" w:rsidR="00E83D45" w:rsidRPr="004934AF" w:rsidRDefault="00966443" w:rsidP="004B520A">
            <w:pPr>
              <w:pStyle w:val="Title1"/>
            </w:pPr>
            <w:r w:rsidRPr="004934AF">
              <w:t>Propuesta de modificación de la resolución 40</w:t>
            </w:r>
          </w:p>
        </w:tc>
      </w:tr>
      <w:tr w:rsidR="00E83D45" w:rsidRPr="004934AF" w14:paraId="4EAB8596" w14:textId="77777777" w:rsidTr="004B520A">
        <w:trPr>
          <w:cantSplit/>
        </w:trPr>
        <w:tc>
          <w:tcPr>
            <w:tcW w:w="9811" w:type="dxa"/>
            <w:gridSpan w:val="2"/>
          </w:tcPr>
          <w:p w14:paraId="453CF5B9" w14:textId="77777777" w:rsidR="00E83D45" w:rsidRPr="004934AF" w:rsidRDefault="00E83D45" w:rsidP="004B520A">
            <w:pPr>
              <w:pStyle w:val="Title2"/>
            </w:pPr>
          </w:p>
        </w:tc>
      </w:tr>
      <w:tr w:rsidR="00E83D45" w:rsidRPr="004934AF" w14:paraId="54B6D166" w14:textId="77777777" w:rsidTr="002E5627">
        <w:trPr>
          <w:cantSplit/>
          <w:trHeight w:hRule="exact" w:val="120"/>
        </w:trPr>
        <w:tc>
          <w:tcPr>
            <w:tcW w:w="9811" w:type="dxa"/>
            <w:gridSpan w:val="2"/>
          </w:tcPr>
          <w:p w14:paraId="25309AFE" w14:textId="77777777" w:rsidR="00E83D45" w:rsidRPr="004934AF" w:rsidRDefault="00E83D45" w:rsidP="004B520A">
            <w:pPr>
              <w:pStyle w:val="Agendaitem"/>
            </w:pPr>
          </w:p>
        </w:tc>
      </w:tr>
    </w:tbl>
    <w:p w14:paraId="048C08B4" w14:textId="77777777" w:rsidR="006B0F54" w:rsidRPr="004934AF" w:rsidRDefault="006B0F54" w:rsidP="006B0F54"/>
    <w:tbl>
      <w:tblPr>
        <w:tblW w:w="5089" w:type="pct"/>
        <w:tblLayout w:type="fixed"/>
        <w:tblLook w:val="0000" w:firstRow="0" w:lastRow="0" w:firstColumn="0" w:lastColumn="0" w:noHBand="0" w:noVBand="0"/>
      </w:tblPr>
      <w:tblGrid>
        <w:gridCol w:w="1560"/>
        <w:gridCol w:w="8251"/>
      </w:tblGrid>
      <w:tr w:rsidR="006B0F54" w:rsidRPr="004934AF" w14:paraId="72755F9B" w14:textId="77777777" w:rsidTr="00193AD1">
        <w:trPr>
          <w:cantSplit/>
        </w:trPr>
        <w:tc>
          <w:tcPr>
            <w:tcW w:w="1560" w:type="dxa"/>
          </w:tcPr>
          <w:p w14:paraId="0B36A248" w14:textId="77777777" w:rsidR="006B0F54" w:rsidRPr="004934AF" w:rsidRDefault="006B0F54" w:rsidP="00193AD1">
            <w:r w:rsidRPr="004934AF">
              <w:rPr>
                <w:b/>
                <w:bCs/>
              </w:rPr>
              <w:t>Resumen:</w:t>
            </w:r>
          </w:p>
        </w:tc>
        <w:tc>
          <w:tcPr>
            <w:tcW w:w="8251" w:type="dxa"/>
          </w:tcPr>
          <w:p w14:paraId="49FC632C" w14:textId="587688A5" w:rsidR="006B0F54" w:rsidRPr="004934AF" w:rsidRDefault="00966443" w:rsidP="00CA1F40">
            <w:pPr>
              <w:rPr>
                <w:color w:val="000000" w:themeColor="text1"/>
              </w:rPr>
            </w:pPr>
            <w:r w:rsidRPr="004934AF">
              <w:rPr>
                <w:color w:val="000000" w:themeColor="text1"/>
              </w:rPr>
              <w:t xml:space="preserve">La Resolución 40 (Rev. Hammamet, 2016) de la AMNT aborda los aspectos reglamentarios de la labor del </w:t>
            </w:r>
            <w:r w:rsidRPr="004934AF">
              <w:rPr>
                <w:color w:val="000000" w:themeColor="text1"/>
              </w:rPr>
              <w:t xml:space="preserve">Sector </w:t>
            </w:r>
            <w:r w:rsidRPr="004934AF">
              <w:rPr>
                <w:color w:val="000000" w:themeColor="text1"/>
              </w:rPr>
              <w:t xml:space="preserve">de </w:t>
            </w:r>
            <w:r w:rsidRPr="004934AF">
              <w:rPr>
                <w:color w:val="000000" w:themeColor="text1"/>
              </w:rPr>
              <w:t xml:space="preserve">Normalización </w:t>
            </w:r>
            <w:r w:rsidRPr="004934AF">
              <w:rPr>
                <w:color w:val="000000" w:themeColor="text1"/>
              </w:rPr>
              <w:t xml:space="preserve">de las </w:t>
            </w:r>
            <w:r w:rsidRPr="004934AF">
              <w:rPr>
                <w:color w:val="000000" w:themeColor="text1"/>
              </w:rPr>
              <w:t xml:space="preserve">Telecomunicaciones </w:t>
            </w:r>
            <w:r w:rsidRPr="004934AF">
              <w:rPr>
                <w:color w:val="000000" w:themeColor="text1"/>
              </w:rPr>
              <w:t xml:space="preserve">de la UIT. Las modificaciones a la Resolución 40 propuestas por la CITEL tienen en cuenta la necesidad de racionalizar las </w:t>
            </w:r>
            <w:r w:rsidRPr="004934AF">
              <w:rPr>
                <w:color w:val="000000" w:themeColor="text1"/>
              </w:rPr>
              <w:t>Resoluciones</w:t>
            </w:r>
            <w:r w:rsidRPr="004934AF">
              <w:rPr>
                <w:color w:val="000000" w:themeColor="text1"/>
              </w:rPr>
              <w:t>, tal y como destacó la Conferencia de Plenipotenciarios de 2018. También se incluyen modificaciones adicionales para que el texto de la Resolución sea más limpio y ayude a su aplicación.</w:t>
            </w:r>
          </w:p>
        </w:tc>
      </w:tr>
    </w:tbl>
    <w:p w14:paraId="6FD6AA72" w14:textId="77777777" w:rsidR="00966443" w:rsidRPr="004934AF" w:rsidRDefault="00966443" w:rsidP="00966443">
      <w:pPr>
        <w:pStyle w:val="Headingb"/>
      </w:pPr>
      <w:r w:rsidRPr="004934AF">
        <w:t>Introducción</w:t>
      </w:r>
    </w:p>
    <w:p w14:paraId="1955D61F" w14:textId="584BA4C7" w:rsidR="00966443" w:rsidRPr="00966443" w:rsidRDefault="00966443" w:rsidP="00966443">
      <w:r w:rsidRPr="00966443">
        <w:t xml:space="preserve">La CITEL, teniendo en cuenta la necesidad de racionalizar las </w:t>
      </w:r>
      <w:r w:rsidRPr="004934AF">
        <w:t>Resoluciones</w:t>
      </w:r>
      <w:r w:rsidRPr="00966443">
        <w:t>, tal y como reconoció la Conferencia de Plenipotenciarios de 2018, propone la eliminación de texto que resulta innecesario para el cumplimiento de los fines de la Resolución.</w:t>
      </w:r>
    </w:p>
    <w:p w14:paraId="0D041CBC" w14:textId="56C97F4A" w:rsidR="00966443" w:rsidRPr="00966443" w:rsidRDefault="00966443" w:rsidP="00966443">
      <w:r w:rsidRPr="00966443">
        <w:t>También se propone suprimir las actividades impuestas al Grupo Asesor de Normalización de las Telecomunicaciones (GANT), puesto que las actividades del GANT ya figuran en la Resolución 22 (Rev. Hammamet, 2016)</w:t>
      </w:r>
      <w:r w:rsidRPr="004934AF">
        <w:t xml:space="preserve"> </w:t>
      </w:r>
      <w:r w:rsidRPr="00966443">
        <w:t>de la AMNT</w:t>
      </w:r>
      <w:r w:rsidRPr="004934AF">
        <w:t>.</w:t>
      </w:r>
    </w:p>
    <w:p w14:paraId="71CF17FC" w14:textId="77777777" w:rsidR="00966443" w:rsidRPr="00966443" w:rsidRDefault="00966443" w:rsidP="00966443">
      <w:r w:rsidRPr="00966443">
        <w:t>Por último, también se incluyen modificaciones adicionales para que el texto de la Resolución resulte más claro y ayude a su aplicación.</w:t>
      </w:r>
    </w:p>
    <w:p w14:paraId="30D80786" w14:textId="77777777" w:rsidR="00966443" w:rsidRPr="00966443" w:rsidRDefault="00966443" w:rsidP="00966443">
      <w:pPr>
        <w:pStyle w:val="Headingb"/>
      </w:pPr>
      <w:r w:rsidRPr="00966443">
        <w:t>Propuesta</w:t>
      </w:r>
    </w:p>
    <w:p w14:paraId="6AA56596" w14:textId="77777777" w:rsidR="00966443" w:rsidRPr="00966443" w:rsidRDefault="00966443" w:rsidP="00966443">
      <w:r w:rsidRPr="00966443">
        <w:t>Modificar la Resolución 40 teniendo en cuenta los aspectos arriba citados.</w:t>
      </w:r>
    </w:p>
    <w:p w14:paraId="199D1F0F" w14:textId="77777777" w:rsidR="0051705A" w:rsidRPr="004934AF" w:rsidRDefault="0051705A" w:rsidP="00C25B5B"/>
    <w:p w14:paraId="3BBD44B0" w14:textId="77777777" w:rsidR="00B07178" w:rsidRPr="004934AF" w:rsidRDefault="00B07178" w:rsidP="00C25B5B">
      <w:r w:rsidRPr="004934AF">
        <w:br w:type="page"/>
      </w:r>
    </w:p>
    <w:p w14:paraId="6700DD4A" w14:textId="77777777" w:rsidR="00E83D45" w:rsidRPr="004934AF" w:rsidRDefault="00E83D45" w:rsidP="007E5A28"/>
    <w:p w14:paraId="2736596B" w14:textId="77777777" w:rsidR="00C300EA" w:rsidRPr="004934AF" w:rsidRDefault="00D21AC1">
      <w:pPr>
        <w:pStyle w:val="Proposal"/>
      </w:pPr>
      <w:r w:rsidRPr="004934AF">
        <w:t>MOD</w:t>
      </w:r>
      <w:r w:rsidRPr="004934AF">
        <w:tab/>
        <w:t>IAP/39A27/1</w:t>
      </w:r>
    </w:p>
    <w:p w14:paraId="6B11292C" w14:textId="4A3E3E22" w:rsidR="00FD410B" w:rsidRPr="004934AF" w:rsidRDefault="00D21AC1" w:rsidP="00134DD6">
      <w:pPr>
        <w:pStyle w:val="ResNo"/>
        <w:rPr>
          <w:b/>
          <w:caps w:val="0"/>
        </w:rPr>
      </w:pPr>
      <w:bookmarkStart w:id="0" w:name="_Toc477787129"/>
      <w:r w:rsidRPr="004934AF">
        <w:t xml:space="preserve">RESOLUCIÓN </w:t>
      </w:r>
      <w:r w:rsidRPr="004934AF">
        <w:rPr>
          <w:rStyle w:val="href"/>
          <w:bCs/>
        </w:rPr>
        <w:t>40</w:t>
      </w:r>
      <w:r w:rsidRPr="004934AF">
        <w:t xml:space="preserve"> </w:t>
      </w:r>
      <w:r w:rsidRPr="004934AF">
        <w:rPr>
          <w:bCs/>
        </w:rPr>
        <w:t>(</w:t>
      </w:r>
      <w:r w:rsidRPr="004934AF">
        <w:rPr>
          <w:bCs/>
          <w:caps w:val="0"/>
        </w:rPr>
        <w:t>Rev</w:t>
      </w:r>
      <w:r w:rsidRPr="004934AF">
        <w:rPr>
          <w:bCs/>
        </w:rPr>
        <w:t xml:space="preserve">. </w:t>
      </w:r>
      <w:del w:id="1" w:author="Spanish" w:date="2021-11-04T09:05:00Z">
        <w:r w:rsidRPr="004934AF" w:rsidDel="00966443">
          <w:rPr>
            <w:bCs/>
            <w:caps w:val="0"/>
          </w:rPr>
          <w:delText>Hammamet</w:delText>
        </w:r>
        <w:r w:rsidRPr="004934AF" w:rsidDel="00966443">
          <w:rPr>
            <w:bCs/>
          </w:rPr>
          <w:delText>, 2016</w:delText>
        </w:r>
      </w:del>
      <w:ins w:id="2" w:author="Spanish" w:date="2021-11-04T09:05:00Z">
        <w:r w:rsidR="00966443" w:rsidRPr="004934AF">
          <w:rPr>
            <w:bCs/>
            <w:caps w:val="0"/>
          </w:rPr>
          <w:t>Ginebra, 2022</w:t>
        </w:r>
      </w:ins>
      <w:r w:rsidRPr="004934AF">
        <w:rPr>
          <w:bCs/>
        </w:rPr>
        <w:t>)</w:t>
      </w:r>
      <w:bookmarkEnd w:id="0"/>
    </w:p>
    <w:p w14:paraId="0C656BE2" w14:textId="77777777" w:rsidR="00FD410B" w:rsidRPr="004934AF" w:rsidRDefault="00D21AC1" w:rsidP="00FD410B">
      <w:pPr>
        <w:pStyle w:val="Restitle"/>
      </w:pPr>
      <w:bookmarkStart w:id="3" w:name="_Toc477787130"/>
      <w:r w:rsidRPr="004934AF">
        <w:t xml:space="preserve">Aspectos </w:t>
      </w:r>
      <w:r w:rsidRPr="004934AF">
        <w:t>reglamentarios de la labor del Sector de Normalización</w:t>
      </w:r>
      <w:r w:rsidRPr="004934AF">
        <w:br/>
        <w:t>de las Telecomunicaciones de la UIT</w:t>
      </w:r>
      <w:bookmarkEnd w:id="3"/>
    </w:p>
    <w:p w14:paraId="29E869FC" w14:textId="47A3DE35" w:rsidR="00FD410B" w:rsidRPr="004934AF" w:rsidRDefault="00D21AC1" w:rsidP="00FD410B">
      <w:pPr>
        <w:pStyle w:val="Resref"/>
      </w:pPr>
      <w:r w:rsidRPr="004934AF">
        <w:t>(Montreal, 2000; Florianópolis, 2004; Johannesburgo, 2008; Dubái, 2012; Hammamet, 2016</w:t>
      </w:r>
      <w:ins w:id="4" w:author="Spanish" w:date="2021-11-04T09:05:00Z">
        <w:r w:rsidR="00966443" w:rsidRPr="004934AF">
          <w:t xml:space="preserve">; Ginebra, </w:t>
        </w:r>
      </w:ins>
      <w:ins w:id="5" w:author="Spanish" w:date="2021-11-04T09:06:00Z">
        <w:r w:rsidR="00966443" w:rsidRPr="004934AF">
          <w:t>2022</w:t>
        </w:r>
      </w:ins>
      <w:r w:rsidRPr="004934AF">
        <w:t>)</w:t>
      </w:r>
    </w:p>
    <w:p w14:paraId="5436BAD1" w14:textId="61EB5C1A" w:rsidR="00FD410B" w:rsidRPr="004934AF" w:rsidRDefault="00D21AC1" w:rsidP="00FD410B">
      <w:pPr>
        <w:pStyle w:val="Normalaftertitle"/>
      </w:pPr>
      <w:r w:rsidRPr="004934AF">
        <w:t>La Asamblea Mundial de Normalización de las Telecomunicaciones (</w:t>
      </w:r>
      <w:del w:id="6" w:author="Spanish" w:date="2021-11-04T09:06:00Z">
        <w:r w:rsidRPr="004934AF" w:rsidDel="00966443">
          <w:delText>Hammamet, 201</w:delText>
        </w:r>
        <w:r w:rsidRPr="004934AF" w:rsidDel="00966443">
          <w:delText>6</w:delText>
        </w:r>
      </w:del>
      <w:ins w:id="7" w:author="Spanish" w:date="2021-11-04T09:06:00Z">
        <w:r w:rsidR="00966443" w:rsidRPr="004934AF">
          <w:t>Ginebra, 2022</w:t>
        </w:r>
      </w:ins>
      <w:r w:rsidRPr="004934AF">
        <w:t>),</w:t>
      </w:r>
    </w:p>
    <w:p w14:paraId="52A9CEB3" w14:textId="77777777" w:rsidR="00FD410B" w:rsidRPr="004934AF" w:rsidRDefault="00D21AC1" w:rsidP="00FD410B">
      <w:pPr>
        <w:pStyle w:val="Call"/>
      </w:pPr>
      <w:r w:rsidRPr="004934AF">
        <w:t>reconociendo</w:t>
      </w:r>
    </w:p>
    <w:p w14:paraId="576B7CA5" w14:textId="77777777" w:rsidR="00FD410B" w:rsidRPr="004934AF" w:rsidRDefault="00D21AC1" w:rsidP="00FD410B">
      <w:r w:rsidRPr="004934AF">
        <w:rPr>
          <w:i/>
          <w:iCs/>
        </w:rPr>
        <w:t>a)</w:t>
      </w:r>
      <w:r w:rsidRPr="004934AF">
        <w:rPr>
          <w:i/>
          <w:iCs/>
        </w:rPr>
        <w:tab/>
      </w:r>
      <w:r w:rsidRPr="004934AF">
        <w:t>las disposiciones de los números 246D a 246H del Convenio de la UIT;</w:t>
      </w:r>
    </w:p>
    <w:p w14:paraId="6C0CF727" w14:textId="77777777" w:rsidR="00966443" w:rsidRPr="004934AF" w:rsidRDefault="00D21AC1" w:rsidP="00FD410B">
      <w:pPr>
        <w:rPr>
          <w:ins w:id="8" w:author="Spanish" w:date="2021-11-04T09:00:00Z"/>
        </w:rPr>
      </w:pPr>
      <w:r w:rsidRPr="004934AF">
        <w:rPr>
          <w:i/>
          <w:iCs/>
        </w:rPr>
        <w:t>b)</w:t>
      </w:r>
      <w:r w:rsidRPr="004934AF">
        <w:rPr>
          <w:i/>
          <w:iCs/>
        </w:rPr>
        <w:tab/>
      </w:r>
      <w:r w:rsidRPr="004934AF">
        <w:t xml:space="preserve">la Resolución 20 (Rev. Hammamet, 2016) de la presente Asamblea relativa a los procedimientos para la atribución y gestión de los recursos de numeración, </w:t>
      </w:r>
      <w:r w:rsidRPr="004934AF">
        <w:t>denominación, direccionamiento e identificación internacionales de telecomunicaciones</w:t>
      </w:r>
      <w:ins w:id="9" w:author="Spanish" w:date="2021-11-04T09:00:00Z">
        <w:r w:rsidR="00966443" w:rsidRPr="004934AF">
          <w:t>;</w:t>
        </w:r>
      </w:ins>
    </w:p>
    <w:p w14:paraId="5199BB0E" w14:textId="281FC917" w:rsidR="00FD410B" w:rsidRPr="004934AF" w:rsidRDefault="00966443" w:rsidP="00FD410B">
      <w:ins w:id="10" w:author="Spanish" w:date="2021-11-04T09:00:00Z">
        <w:r w:rsidRPr="004934AF">
          <w:rPr>
            <w:i/>
            <w:iCs/>
          </w:rPr>
          <w:t>c)</w:t>
        </w:r>
        <w:r w:rsidRPr="004934AF">
          <w:tab/>
          <w:t xml:space="preserve">la Resolución 22 (Rev. Hammamet, 2016) </w:t>
        </w:r>
      </w:ins>
      <w:ins w:id="11" w:author="Spanish" w:date="2021-11-04T09:06:00Z">
        <w:r w:rsidRPr="004934AF">
          <w:t xml:space="preserve">de la presente Asamblea </w:t>
        </w:r>
      </w:ins>
      <w:ins w:id="12" w:author="Spanish" w:date="2021-11-04T09:00:00Z">
        <w:r w:rsidRPr="004934AF">
          <w:t xml:space="preserve">sobre la </w:t>
        </w:r>
        <w:r w:rsidRPr="004934AF">
          <w:t xml:space="preserve">autorización </w:t>
        </w:r>
        <w:r w:rsidRPr="004934AF">
          <w:t>para que el Grupo Asesor de Normalización de las Telecomunicaciones actúe en el periodo entre Asambleas Mundiales de Normalización de las Telecomunicaciones</w:t>
        </w:r>
      </w:ins>
      <w:r w:rsidR="00D21AC1" w:rsidRPr="004934AF">
        <w:t>,</w:t>
      </w:r>
    </w:p>
    <w:p w14:paraId="11A9DE42" w14:textId="77777777" w:rsidR="00FD410B" w:rsidRPr="004934AF" w:rsidRDefault="00D21AC1" w:rsidP="00FD410B">
      <w:pPr>
        <w:pStyle w:val="Call"/>
      </w:pPr>
      <w:r w:rsidRPr="004934AF">
        <w:t>considerando</w:t>
      </w:r>
    </w:p>
    <w:p w14:paraId="3CC0391B" w14:textId="77777777" w:rsidR="00FD410B" w:rsidRPr="004934AF" w:rsidRDefault="00D21AC1" w:rsidP="00FD410B">
      <w:r w:rsidRPr="004934AF">
        <w:rPr>
          <w:i/>
          <w:iCs/>
        </w:rPr>
        <w:t>a)</w:t>
      </w:r>
      <w:r w:rsidRPr="004934AF">
        <w:tab/>
        <w:t>que las tareas emprendidas en el Sector de Normalización de las Telecomunicaciones de la UIT (UIT</w:t>
      </w:r>
      <w:r w:rsidRPr="004934AF">
        <w:noBreakHyphen/>
        <w:t xml:space="preserve">T) abarcan tanto asuntos técnicos como </w:t>
      </w:r>
      <w:r w:rsidRPr="004934AF">
        <w:t>cuestiones que tienen implicaciones políticas o reglamentarias;</w:t>
      </w:r>
    </w:p>
    <w:p w14:paraId="355BA450" w14:textId="77777777" w:rsidR="00FD410B" w:rsidRPr="004934AF" w:rsidRDefault="00D21AC1" w:rsidP="00FD410B">
      <w:r w:rsidRPr="004934AF">
        <w:rPr>
          <w:i/>
          <w:iCs/>
        </w:rPr>
        <w:t>b)</w:t>
      </w:r>
      <w:r w:rsidRPr="004934AF">
        <w:tab/>
        <w:t xml:space="preserve">que las reglas que rigen determinados aspectos de la labor del UIT-T se están estructurando de manera que se distingan de forma clara y precisa los límites entre los asuntos técnicos y las </w:t>
      </w:r>
      <w:r w:rsidRPr="004934AF">
        <w:t>cuestiones que tienen implicaciones políticas o reglamentarias;</w:t>
      </w:r>
    </w:p>
    <w:p w14:paraId="17BB734C" w14:textId="77777777" w:rsidR="00FD410B" w:rsidRPr="004934AF" w:rsidRDefault="00D21AC1" w:rsidP="00FD410B">
      <w:r w:rsidRPr="004934AF">
        <w:rPr>
          <w:i/>
          <w:iCs/>
        </w:rPr>
        <w:t>c)</w:t>
      </w:r>
      <w:r w:rsidRPr="004934AF">
        <w:tab/>
        <w:t>que las Administraciones fomentan una función más importante de los Miembros del Sector en la labor del UIT-T, en particular en relación con asuntos técnicos;</w:t>
      </w:r>
    </w:p>
    <w:p w14:paraId="0D42E31C" w14:textId="77777777" w:rsidR="00FD410B" w:rsidRPr="004934AF" w:rsidRDefault="00D21AC1" w:rsidP="00FD410B">
      <w:r w:rsidRPr="004934AF">
        <w:rPr>
          <w:i/>
          <w:iCs/>
        </w:rPr>
        <w:t>d)</w:t>
      </w:r>
      <w:r w:rsidRPr="004934AF">
        <w:tab/>
        <w:t>que muchos asuntos que tien</w:t>
      </w:r>
      <w:r w:rsidRPr="004934AF">
        <w:t>en implicaciones políticas o reglamentarias pueden implicar una aplicación de carácter técnico y, por consiguiente, se han de examinar en las Comisiones de Estudio técnicas apropiadas,</w:t>
      </w:r>
    </w:p>
    <w:p w14:paraId="5A0F5AFF" w14:textId="77777777" w:rsidR="00FD410B" w:rsidRPr="004934AF" w:rsidRDefault="00D21AC1" w:rsidP="00FD410B">
      <w:pPr>
        <w:pStyle w:val="Call"/>
      </w:pPr>
      <w:r w:rsidRPr="004934AF">
        <w:t>observando</w:t>
      </w:r>
    </w:p>
    <w:p w14:paraId="1A22E0D3" w14:textId="77777777" w:rsidR="00FD410B" w:rsidRPr="004934AF" w:rsidRDefault="00D21AC1" w:rsidP="00FD410B">
      <w:r w:rsidRPr="004934AF">
        <w:rPr>
          <w:i/>
          <w:iCs/>
        </w:rPr>
        <w:t>a)</w:t>
      </w:r>
      <w:r w:rsidRPr="004934AF">
        <w:tab/>
        <w:t>que los Estados Miembros de la UIT han definido important</w:t>
      </w:r>
      <w:r w:rsidRPr="004934AF">
        <w:t xml:space="preserve">es responsabilidades de carácter político en los </w:t>
      </w:r>
      <w:r w:rsidRPr="004934AF">
        <w:t>Artículos </w:t>
      </w:r>
      <w:r w:rsidRPr="004934AF">
        <w:t xml:space="preserve">33 a 43 del Capítulo VI de la Constitución de la UIT y en los </w:t>
      </w:r>
      <w:r w:rsidRPr="004934AF">
        <w:t>Artículos</w:t>
      </w:r>
      <w:r w:rsidRPr="004934AF">
        <w:t xml:space="preserve"> 36 a 40 del Capítulo V del Convenio, así como en Resoluciones pertinentes de las Conferencias de Plenipotenciarios;</w:t>
      </w:r>
    </w:p>
    <w:p w14:paraId="4717BF9D" w14:textId="77777777" w:rsidR="00FD410B" w:rsidRPr="004934AF" w:rsidRDefault="00D21AC1" w:rsidP="00FD410B">
      <w:r w:rsidRPr="004934AF">
        <w:rPr>
          <w:i/>
          <w:iCs/>
        </w:rPr>
        <w:t>b)</w:t>
      </w:r>
      <w:r w:rsidRPr="004934AF">
        <w:tab/>
        <w:t>que en</w:t>
      </w:r>
      <w:r w:rsidRPr="004934AF">
        <w:t xml:space="preserve"> el Reglamento de las Telecomunicaciones Internacionales se describen asimismo obligaciones políticas o reglamentarias que incumben a los Estados Miembros;</w:t>
      </w:r>
    </w:p>
    <w:p w14:paraId="751ED661" w14:textId="77777777" w:rsidR="00FD410B" w:rsidRPr="004934AF" w:rsidRDefault="00D21AC1" w:rsidP="002414E1">
      <w:r w:rsidRPr="004934AF">
        <w:rPr>
          <w:i/>
          <w:iCs/>
        </w:rPr>
        <w:t>c)</w:t>
      </w:r>
      <w:r w:rsidRPr="004934AF">
        <w:tab/>
        <w:t>que en el número</w:t>
      </w:r>
      <w:r w:rsidRPr="004934AF">
        <w:t> </w:t>
      </w:r>
      <w:r w:rsidRPr="004934AF">
        <w:t>191C del Convenio se encarga a la Asamblea Mundial de Normalización de las Telec</w:t>
      </w:r>
      <w:r w:rsidRPr="004934AF">
        <w:t>omunicaciones (AMNT) que asigne asuntos que correspondan a su ámbito de competencia al Grupo Asesor de Normalización de las Telecomunicaciones (GANT), indicando las medidas requeridas sobre el particular,</w:t>
      </w:r>
    </w:p>
    <w:p w14:paraId="3B133A1B" w14:textId="77777777" w:rsidR="00FD410B" w:rsidRPr="004934AF" w:rsidRDefault="00D21AC1" w:rsidP="00FD410B">
      <w:pPr>
        <w:pStyle w:val="Call"/>
      </w:pPr>
      <w:r w:rsidRPr="004934AF">
        <w:lastRenderedPageBreak/>
        <w:t>resuelve</w:t>
      </w:r>
    </w:p>
    <w:p w14:paraId="6BA8E2D1" w14:textId="31F7CC7B" w:rsidR="00FD410B" w:rsidRPr="004934AF" w:rsidRDefault="00D21AC1" w:rsidP="00FD410B">
      <w:del w:id="13" w:author="Spanish" w:date="2021-11-04T09:02:00Z">
        <w:r w:rsidRPr="004934AF" w:rsidDel="00966443">
          <w:delText>1</w:delText>
        </w:r>
        <w:r w:rsidRPr="004934AF" w:rsidDel="00966443">
          <w:tab/>
        </w:r>
      </w:del>
      <w:r w:rsidRPr="004934AF">
        <w:t xml:space="preserve">que, al determinar si </w:t>
      </w:r>
      <w:del w:id="14" w:author="Spanish" w:date="2021-11-04T09:02:00Z">
        <w:r w:rsidRPr="004934AF" w:rsidDel="00966443">
          <w:delText xml:space="preserve">una Recomendación </w:delText>
        </w:r>
        <w:r w:rsidRPr="004934AF" w:rsidDel="00966443">
          <w:delText>o una Cuestión</w:delText>
        </w:r>
      </w:del>
      <w:ins w:id="15" w:author="Spanish" w:date="2021-11-04T09:02:00Z">
        <w:r w:rsidR="00966443" w:rsidRPr="004934AF">
          <w:t>nuevos temas de trabajo, Cuestiones o Recomendaciones</w:t>
        </w:r>
      </w:ins>
      <w:r w:rsidRPr="004934AF">
        <w:t xml:space="preserve"> tiene</w:t>
      </w:r>
      <w:ins w:id="16" w:author="Spanish" w:date="2021-11-04T09:02:00Z">
        <w:r w:rsidR="00966443" w:rsidRPr="004934AF">
          <w:t>n</w:t>
        </w:r>
      </w:ins>
      <w:r w:rsidRPr="004934AF">
        <w:t xml:space="preserve"> implicaciones políticas o reglamentarias, </w:t>
      </w:r>
      <w:del w:id="17" w:author="Spanish" w:date="2021-11-04T09:02:00Z">
        <w:r w:rsidRPr="004934AF" w:rsidDel="00966443">
          <w:delText xml:space="preserve">en particular las Recomendaciones o Cuestiones relativas a asuntos de tarificación y contabilidad, </w:delText>
        </w:r>
      </w:del>
      <w:r w:rsidRPr="004934AF">
        <w:t>las Comisiones de Estudio consideren de un modo más general asuntos como los siguientes:</w:t>
      </w:r>
    </w:p>
    <w:p w14:paraId="491250EE" w14:textId="77777777" w:rsidR="00FD410B" w:rsidRPr="004934AF" w:rsidRDefault="00D21AC1" w:rsidP="00FD410B">
      <w:pPr>
        <w:pStyle w:val="enumlev1"/>
      </w:pPr>
      <w:r w:rsidRPr="004934AF">
        <w:sym w:font="Symbol" w:char="F02D"/>
      </w:r>
      <w:r w:rsidRPr="004934AF">
        <w:tab/>
        <w:t xml:space="preserve">el </w:t>
      </w:r>
      <w:r w:rsidRPr="004934AF">
        <w:t>derecho del público a comunicarse;</w:t>
      </w:r>
    </w:p>
    <w:p w14:paraId="5EB78E9B" w14:textId="77777777" w:rsidR="00FD410B" w:rsidRPr="004934AF" w:rsidRDefault="00D21AC1" w:rsidP="00FD410B">
      <w:pPr>
        <w:pStyle w:val="enumlev1"/>
      </w:pPr>
      <w:r w:rsidRPr="004934AF">
        <w:sym w:font="Symbol" w:char="F02D"/>
      </w:r>
      <w:r w:rsidRPr="004934AF">
        <w:tab/>
        <w:t>la protección de los canales e instalaciones de telecomunicaciones;</w:t>
      </w:r>
    </w:p>
    <w:p w14:paraId="42E6A979" w14:textId="23902319" w:rsidR="00FD410B" w:rsidRPr="004934AF" w:rsidDel="00C627F5" w:rsidRDefault="00D21AC1" w:rsidP="00FD410B">
      <w:pPr>
        <w:pStyle w:val="enumlev1"/>
        <w:rPr>
          <w:del w:id="18" w:author="Spanish" w:date="2021-11-04T09:14:00Z"/>
        </w:rPr>
      </w:pPr>
      <w:r w:rsidRPr="004934AF">
        <w:sym w:font="Symbol" w:char="F02D"/>
      </w:r>
      <w:r w:rsidRPr="004934AF">
        <w:tab/>
        <w:t xml:space="preserve">la utilización de los recursos </w:t>
      </w:r>
      <w:del w:id="19" w:author="Spanish" w:date="2021-11-04T09:01:00Z">
        <w:r w:rsidRPr="004934AF" w:rsidDel="00966443">
          <w:delText xml:space="preserve">limitados </w:delText>
        </w:r>
      </w:del>
      <w:r w:rsidRPr="004934AF">
        <w:t>de numeración</w:t>
      </w:r>
      <w:ins w:id="20" w:author="Spanish" w:date="2021-11-04T09:01:00Z">
        <w:r w:rsidR="00966443" w:rsidRPr="004934AF">
          <w:t>,</w:t>
        </w:r>
      </w:ins>
      <w:ins w:id="21" w:author="Spanish" w:date="2021-11-04T09:14:00Z">
        <w:r w:rsidR="00C627F5" w:rsidRPr="004934AF">
          <w:t xml:space="preserve"> denominación,</w:t>
        </w:r>
      </w:ins>
      <w:del w:id="22" w:author="Spanish" w:date="2021-11-04T09:01:00Z">
        <w:r w:rsidRPr="004934AF" w:rsidDel="00966443">
          <w:delText xml:space="preserve"> y</w:delText>
        </w:r>
      </w:del>
      <w:r w:rsidRPr="004934AF">
        <w:t xml:space="preserve"> direccionamiento</w:t>
      </w:r>
      <w:ins w:id="23" w:author="Spanish" w:date="2021-11-04T09:01:00Z">
        <w:r w:rsidR="00966443" w:rsidRPr="004934AF">
          <w:t xml:space="preserve"> e</w:t>
        </w:r>
      </w:ins>
      <w:del w:id="24" w:author="Spanish" w:date="2021-11-04T09:01:00Z">
        <w:r w:rsidRPr="004934AF" w:rsidDel="00966443">
          <w:delText>;</w:delText>
        </w:r>
      </w:del>
    </w:p>
    <w:p w14:paraId="260066A4" w14:textId="335FEB57" w:rsidR="00FD410B" w:rsidRPr="004934AF" w:rsidRDefault="00D21AC1" w:rsidP="00FD410B">
      <w:pPr>
        <w:pStyle w:val="enumlev1"/>
      </w:pPr>
      <w:del w:id="25" w:author="Spanish" w:date="2021-11-04T09:01:00Z">
        <w:r w:rsidRPr="004934AF" w:rsidDel="00966443">
          <w:delText>–</w:delText>
        </w:r>
        <w:r w:rsidRPr="004934AF" w:rsidDel="00966443">
          <w:tab/>
          <w:delText>las denominaciones y la</w:delText>
        </w:r>
      </w:del>
      <w:r w:rsidRPr="004934AF">
        <w:t xml:space="preserve"> identificación;</w:t>
      </w:r>
    </w:p>
    <w:p w14:paraId="786E79B1" w14:textId="77777777" w:rsidR="00FD410B" w:rsidRPr="004934AF" w:rsidRDefault="00D21AC1" w:rsidP="00FD410B">
      <w:pPr>
        <w:pStyle w:val="enumlev1"/>
      </w:pPr>
      <w:r w:rsidRPr="004934AF">
        <w:sym w:font="Symbol" w:char="F02D"/>
      </w:r>
      <w:r w:rsidRPr="004934AF">
        <w:tab/>
        <w:t>el secreto y la autenticidad d</w:t>
      </w:r>
      <w:r w:rsidRPr="004934AF">
        <w:t>e las telecomunicaciones;</w:t>
      </w:r>
    </w:p>
    <w:p w14:paraId="413F6C85" w14:textId="77777777" w:rsidR="00FD410B" w:rsidRPr="004934AF" w:rsidRDefault="00D21AC1" w:rsidP="00FD410B">
      <w:pPr>
        <w:pStyle w:val="enumlev1"/>
      </w:pPr>
      <w:r w:rsidRPr="004934AF">
        <w:sym w:font="Symbol" w:char="F02D"/>
      </w:r>
      <w:r w:rsidRPr="004934AF">
        <w:tab/>
        <w:t>la seguridad de la vida humana;</w:t>
      </w:r>
    </w:p>
    <w:p w14:paraId="3932EF7A" w14:textId="77777777" w:rsidR="00FD410B" w:rsidRPr="004934AF" w:rsidRDefault="00D21AC1" w:rsidP="00FD410B">
      <w:pPr>
        <w:pStyle w:val="enumlev1"/>
      </w:pPr>
      <w:r w:rsidRPr="004934AF">
        <w:sym w:font="Symbol" w:char="F02D"/>
      </w:r>
      <w:r w:rsidRPr="004934AF">
        <w:tab/>
        <w:t>las prácticas aplicables a los mercados competitivos;</w:t>
      </w:r>
    </w:p>
    <w:p w14:paraId="7219E7E5" w14:textId="77777777" w:rsidR="00FD410B" w:rsidRPr="004934AF" w:rsidRDefault="00D21AC1" w:rsidP="00FD410B">
      <w:pPr>
        <w:pStyle w:val="enumlev1"/>
      </w:pPr>
      <w:r w:rsidRPr="004934AF">
        <w:t>–</w:t>
      </w:r>
      <w:r w:rsidRPr="004934AF">
        <w:tab/>
        <w:t>la utilización indebida de los recursos de numeración; y</w:t>
      </w:r>
    </w:p>
    <w:p w14:paraId="66E22E74" w14:textId="78B53DF4" w:rsidR="00FD410B" w:rsidRPr="004934AF" w:rsidDel="00966443" w:rsidRDefault="00D21AC1" w:rsidP="00966443">
      <w:pPr>
        <w:pStyle w:val="enumlev1"/>
        <w:rPr>
          <w:del w:id="26" w:author="Spanish" w:date="2021-11-04T09:00:00Z"/>
        </w:rPr>
      </w:pPr>
      <w:r w:rsidRPr="004934AF">
        <w:sym w:font="Symbol" w:char="F02D"/>
      </w:r>
      <w:r w:rsidRPr="004934AF">
        <w:tab/>
        <w:t xml:space="preserve">otros asuntos pertinentes, incluidos los definidos a través de una decisión de </w:t>
      </w:r>
      <w:r w:rsidRPr="004934AF">
        <w:t>los Estados Miembros o recomendados por el GANT, o cuando se planteen dudas respecto al alcance de las Recomendaciones o Cuestiones</w:t>
      </w:r>
      <w:del w:id="27" w:author="Spanish" w:date="2021-11-04T09:00:00Z">
        <w:r w:rsidRPr="004934AF" w:rsidDel="00966443">
          <w:delText>;</w:delText>
        </w:r>
      </w:del>
    </w:p>
    <w:p w14:paraId="0E1D187F" w14:textId="78DE1B7E" w:rsidR="00FD410B" w:rsidRPr="004934AF" w:rsidDel="00966443" w:rsidRDefault="00D21AC1" w:rsidP="004934AF">
      <w:pPr>
        <w:pStyle w:val="enumlev1"/>
        <w:rPr>
          <w:del w:id="28" w:author="Spanish" w:date="2021-11-04T09:00:00Z"/>
        </w:rPr>
      </w:pPr>
      <w:del w:id="29" w:author="Spanish" w:date="2021-11-04T09:00:00Z">
        <w:r w:rsidRPr="004934AF" w:rsidDel="00966443">
          <w:delText>2</w:delText>
        </w:r>
        <w:r w:rsidRPr="004934AF" w:rsidDel="00966443">
          <w:tab/>
          <w:delText>solicitar al GANT que consulte a los Estados Miembros sobre cualquier tema pertinente distinto de los especificados anter</w:delText>
        </w:r>
        <w:r w:rsidRPr="004934AF" w:rsidDel="00966443">
          <w:delText>iormente;</w:delText>
        </w:r>
      </w:del>
    </w:p>
    <w:p w14:paraId="0D417963" w14:textId="353D470D" w:rsidR="00FD410B" w:rsidRPr="004934AF" w:rsidRDefault="00D21AC1" w:rsidP="004934AF">
      <w:pPr>
        <w:pStyle w:val="enumlev1"/>
      </w:pPr>
      <w:del w:id="30" w:author="Spanish" w:date="2021-11-04T09:00:00Z">
        <w:r w:rsidRPr="004934AF" w:rsidDel="00966443">
          <w:delText>3</w:delText>
        </w:r>
        <w:r w:rsidRPr="004934AF" w:rsidDel="00966443">
          <w:tab/>
          <w:delText xml:space="preserve">encargar al GANT que estudie e identifique los aspectos técnicos y operativos relativos a la calidad del servicio/calidad percibida (QoS/QoE) de las telecomunicaciones/tecnologías de la información y la comunicación que pudieran tener carácter </w:delText>
        </w:r>
        <w:r w:rsidRPr="004934AF" w:rsidDel="00966443">
          <w:delText>político o reglamentario, teniendo en cuenta los estudios que están llevando a cabo las Comisiones de Estudio pertinentes, e informe al respecto en la próxima AMNT</w:delText>
        </w:r>
      </w:del>
      <w:r w:rsidRPr="004934AF">
        <w:t>,</w:t>
      </w:r>
    </w:p>
    <w:p w14:paraId="23DA75C0" w14:textId="77777777" w:rsidR="00FD410B" w:rsidRPr="004934AF" w:rsidRDefault="00D21AC1" w:rsidP="00FD410B">
      <w:pPr>
        <w:pStyle w:val="Call"/>
      </w:pPr>
      <w:r w:rsidRPr="004934AF">
        <w:t>i</w:t>
      </w:r>
      <w:r w:rsidRPr="004934AF">
        <w:t>nvita a los Estados Miembros</w:t>
      </w:r>
    </w:p>
    <w:p w14:paraId="0EE415BA" w14:textId="77777777" w:rsidR="00FD410B" w:rsidRPr="004934AF" w:rsidRDefault="00D21AC1" w:rsidP="00FD410B">
      <w:r w:rsidRPr="004934AF">
        <w:t>a contribuir activamente a los trabajos que se han de realiza</w:t>
      </w:r>
      <w:r w:rsidRPr="004934AF">
        <w:t>r sobre este particular.</w:t>
      </w:r>
    </w:p>
    <w:p w14:paraId="1D6B9B8E" w14:textId="77777777" w:rsidR="00966443" w:rsidRPr="004934AF" w:rsidRDefault="00966443" w:rsidP="00411C49">
      <w:pPr>
        <w:pStyle w:val="Reasons"/>
      </w:pPr>
    </w:p>
    <w:p w14:paraId="443B5A9F" w14:textId="77777777" w:rsidR="00966443" w:rsidRPr="004934AF" w:rsidRDefault="00966443">
      <w:pPr>
        <w:jc w:val="center"/>
      </w:pPr>
      <w:r w:rsidRPr="004934AF">
        <w:t>______________</w:t>
      </w:r>
    </w:p>
    <w:sectPr w:rsidR="00966443" w:rsidRPr="004934AF">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C436" w14:textId="77777777" w:rsidR="00FC241D" w:rsidRDefault="00FC241D">
      <w:r>
        <w:separator/>
      </w:r>
    </w:p>
  </w:endnote>
  <w:endnote w:type="continuationSeparator" w:id="0">
    <w:p w14:paraId="027D7F7C"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C4B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EEE638" w14:textId="77777777"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66316B">
      <w:rPr>
        <w:noProof/>
      </w:rPr>
      <w:t>04.11.21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C3CF" w14:textId="6CBFD6CC" w:rsidR="0077084A" w:rsidRPr="004934AF" w:rsidRDefault="0077084A" w:rsidP="00FC3528">
    <w:pPr>
      <w:pStyle w:val="Footer"/>
      <w:ind w:right="360"/>
      <w:rPr>
        <w:lang w:val="fr-BE"/>
      </w:rPr>
    </w:pPr>
    <w:r>
      <w:fldChar w:fldCharType="begin"/>
    </w:r>
    <w:r w:rsidRPr="004934AF">
      <w:rPr>
        <w:lang w:val="fr-BE"/>
      </w:rPr>
      <w:instrText xml:space="preserve"> FILENAME \p  \* MERGEFORMAT </w:instrText>
    </w:r>
    <w:r>
      <w:fldChar w:fldCharType="separate"/>
    </w:r>
    <w:r w:rsidR="004934AF" w:rsidRPr="004934AF">
      <w:rPr>
        <w:lang w:val="fr-BE"/>
      </w:rPr>
      <w:t>P:\ESP\ITU-T\CONF-T\WTSA20\000\039ADD27S.docx</w:t>
    </w:r>
    <w:r>
      <w:fldChar w:fldCharType="end"/>
    </w:r>
    <w:r w:rsidR="004934AF" w:rsidRPr="004934AF">
      <w:rPr>
        <w:lang w:val="fr-BE"/>
      </w:rPr>
      <w:t xml:space="preserve"> </w:t>
    </w:r>
    <w:r w:rsidR="004934AF">
      <w:rPr>
        <w:lang w:val="fr-BE"/>
      </w:rPr>
      <w:t>(497134)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74CE" w14:textId="77777777" w:rsidR="004934AF" w:rsidRPr="004934AF" w:rsidRDefault="004934AF" w:rsidP="004934AF">
    <w:pPr>
      <w:pStyle w:val="Footer"/>
      <w:ind w:right="360"/>
      <w:rPr>
        <w:lang w:val="fr-BE"/>
      </w:rPr>
    </w:pPr>
    <w:r>
      <w:fldChar w:fldCharType="begin"/>
    </w:r>
    <w:r w:rsidRPr="004934AF">
      <w:rPr>
        <w:lang w:val="fr-BE"/>
      </w:rPr>
      <w:instrText xml:space="preserve"> FILENAME \p  \* MERGEFORMAT </w:instrText>
    </w:r>
    <w:r>
      <w:fldChar w:fldCharType="separate"/>
    </w:r>
    <w:r w:rsidRPr="004934AF">
      <w:rPr>
        <w:lang w:val="fr-BE"/>
      </w:rPr>
      <w:t>P:\ESP\ITU-T\CONF-T\WTSA20\000\039ADD27S.docx</w:t>
    </w:r>
    <w:r>
      <w:fldChar w:fldCharType="end"/>
    </w:r>
    <w:r w:rsidRPr="004934AF">
      <w:rPr>
        <w:lang w:val="fr-BE"/>
      </w:rPr>
      <w:t xml:space="preserve"> </w:t>
    </w:r>
    <w:r>
      <w:rPr>
        <w:lang w:val="fr-BE"/>
      </w:rPr>
      <w:t>(497134)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1F84" w14:textId="77777777" w:rsidR="00FC241D" w:rsidRDefault="00FC241D">
      <w:r>
        <w:rPr>
          <w:b/>
        </w:rPr>
        <w:t>_______________</w:t>
      </w:r>
    </w:p>
  </w:footnote>
  <w:footnote w:type="continuationSeparator" w:id="0">
    <w:p w14:paraId="4BE154B9"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2F0D"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69F3F849" w14:textId="42DD8B75" w:rsidR="00E83D45" w:rsidRPr="00C72D5C" w:rsidRDefault="002E5627" w:rsidP="00E83D45">
    <w:pPr>
      <w:pStyle w:val="Header"/>
    </w:pPr>
    <w:r>
      <w:fldChar w:fldCharType="begin"/>
    </w:r>
    <w:r>
      <w:instrText xml:space="preserve"> styleref DocNumber </w:instrText>
    </w:r>
    <w:r>
      <w:fldChar w:fldCharType="separate"/>
    </w:r>
    <w:r w:rsidR="00D21AC1">
      <w:rPr>
        <w:noProof/>
      </w:rPr>
      <w:t>Addéndum 27 al</w:t>
    </w:r>
    <w:r w:rsidR="00D21AC1">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934AF"/>
    <w:rsid w:val="004B124A"/>
    <w:rsid w:val="004B520A"/>
    <w:rsid w:val="004C3636"/>
    <w:rsid w:val="004C3A5A"/>
    <w:rsid w:val="00507C36"/>
    <w:rsid w:val="0051705A"/>
    <w:rsid w:val="00523269"/>
    <w:rsid w:val="00532097"/>
    <w:rsid w:val="00566BEE"/>
    <w:rsid w:val="0058350F"/>
    <w:rsid w:val="005A374D"/>
    <w:rsid w:val="005C475F"/>
    <w:rsid w:val="005E782D"/>
    <w:rsid w:val="005F2605"/>
    <w:rsid w:val="00646147"/>
    <w:rsid w:val="00662039"/>
    <w:rsid w:val="00662BA0"/>
    <w:rsid w:val="0066316B"/>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66443"/>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6C4"/>
    <w:rsid w:val="00C25B5B"/>
    <w:rsid w:val="00C300EA"/>
    <w:rsid w:val="00C614DC"/>
    <w:rsid w:val="00C627F5"/>
    <w:rsid w:val="00C63EB5"/>
    <w:rsid w:val="00C72410"/>
    <w:rsid w:val="00C858D0"/>
    <w:rsid w:val="00CA1F40"/>
    <w:rsid w:val="00CB35C9"/>
    <w:rsid w:val="00CC01E0"/>
    <w:rsid w:val="00CD1851"/>
    <w:rsid w:val="00CD5FEE"/>
    <w:rsid w:val="00CD663E"/>
    <w:rsid w:val="00CE60D2"/>
    <w:rsid w:val="00D0288A"/>
    <w:rsid w:val="00D21AC1"/>
    <w:rsid w:val="00D56781"/>
    <w:rsid w:val="00D72A5D"/>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5EC824"/>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6644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64aeb38-c42b-41f7-91ad-bde4d7101169">DPM</DPM_x0020_Author>
    <DPM_x0020_File_x0020_name xmlns="464aeb38-c42b-41f7-91ad-bde4d7101169">T17-WTSA.20-C-0039!A27!MSW-S</DPM_x0020_File_x0020_name>
    <DPM_x0020_Version xmlns="464aeb38-c42b-41f7-91ad-bde4d7101169">DPM_2019.11.13.01</DPM_x0020_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64aeb38-c42b-41f7-91ad-bde4d7101169" targetNamespace="http://schemas.microsoft.com/office/2006/metadata/properties" ma:root="true" ma:fieldsID="d41af5c836d734370eb92e7ee5f83852" ns2:_="" ns3:_="">
    <xsd:import namespace="996b2e75-67fd-4955-a3b0-5ab9934cb50b"/>
    <xsd:import namespace="464aeb38-c42b-41f7-91ad-bde4d710116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64aeb38-c42b-41f7-91ad-bde4d710116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aeb38-c42b-41f7-91ad-bde4d7101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64aeb38-c42b-41f7-91ad-bde4d7101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750</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T17-WTSA.20-C-0039!A27!MSW-S</vt:lpstr>
    </vt:vector>
  </TitlesOfParts>
  <Manager>Secretaría General - Pool</Manager>
  <Company>International Telecommunication Union (ITU)</Company>
  <LinksUpToDate>false</LinksUpToDate>
  <CharactersWithSpaces>5784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T17-WTSA.20-C-0039!A27!MSW-S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5</cp:revision>
  <cp:lastPrinted>2016-03-08T15:23:00Z</cp:lastPrinted>
  <dcterms:created xsi:type="dcterms:W3CDTF">2021-11-04T07:59:00Z</dcterms:created>
  <dcterms:modified xsi:type="dcterms:W3CDTF">2021-11-04T08:20:00Z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