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F435EA" w14:paraId="6610E4A3" w14:textId="77777777" w:rsidTr="009B0563">
        <w:trPr>
          <w:cantSplit/>
        </w:trPr>
        <w:tc>
          <w:tcPr>
            <w:tcW w:w="6613" w:type="dxa"/>
            <w:vAlign w:val="center"/>
          </w:tcPr>
          <w:p w14:paraId="0DFA11F8" w14:textId="77777777" w:rsidR="009B0563" w:rsidRPr="00F435EA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F435EA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4D9014C2" w14:textId="7E30E767" w:rsidR="009B0563" w:rsidRPr="00F435EA" w:rsidRDefault="003B748A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B74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F435E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2B794320" w14:textId="77777777" w:rsidR="009B0563" w:rsidRPr="00F435EA" w:rsidRDefault="009B0563" w:rsidP="009B0563">
            <w:pPr>
              <w:spacing w:before="0"/>
            </w:pPr>
            <w:r w:rsidRPr="00F435EA">
              <w:rPr>
                <w:noProof/>
                <w:lang w:eastAsia="zh-CN"/>
              </w:rPr>
              <w:drawing>
                <wp:inline distT="0" distB="0" distL="0" distR="0" wp14:anchorId="51583629" wp14:editId="4022AA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435EA" w14:paraId="2B088172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31201C07" w14:textId="77777777" w:rsidR="00F0220A" w:rsidRPr="00F435E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7E01814" w14:textId="77777777" w:rsidR="00F0220A" w:rsidRPr="00F435EA" w:rsidRDefault="00F0220A" w:rsidP="004B520A">
            <w:pPr>
              <w:spacing w:before="0"/>
            </w:pPr>
          </w:p>
        </w:tc>
      </w:tr>
      <w:tr w:rsidR="005A374D" w:rsidRPr="00F435EA" w14:paraId="0AA8AEC1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05AC584" w14:textId="77777777" w:rsidR="005A374D" w:rsidRPr="00F435EA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557F6ED" w14:textId="77777777" w:rsidR="005A374D" w:rsidRPr="00F435EA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435EA" w14:paraId="7574AE9B" w14:textId="77777777" w:rsidTr="004B520A">
        <w:trPr>
          <w:cantSplit/>
        </w:trPr>
        <w:tc>
          <w:tcPr>
            <w:tcW w:w="6613" w:type="dxa"/>
          </w:tcPr>
          <w:p w14:paraId="0444DD03" w14:textId="77777777" w:rsidR="00E83D45" w:rsidRPr="00F435EA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435EA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0DF66B9" w14:textId="77777777" w:rsidR="00E83D45" w:rsidRPr="00F435EA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F435EA">
              <w:rPr>
                <w:lang w:val="es-ES_tradnl"/>
              </w:rPr>
              <w:t>Addéndum 22 al</w:t>
            </w:r>
            <w:r w:rsidRPr="00F435EA">
              <w:rPr>
                <w:lang w:val="es-ES_tradnl"/>
              </w:rPr>
              <w:br/>
              <w:t>Documento 39-S</w:t>
            </w:r>
          </w:p>
        </w:tc>
      </w:tr>
      <w:tr w:rsidR="00E83D45" w:rsidRPr="00F435EA" w14:paraId="61215567" w14:textId="77777777" w:rsidTr="004B520A">
        <w:trPr>
          <w:cantSplit/>
        </w:trPr>
        <w:tc>
          <w:tcPr>
            <w:tcW w:w="6613" w:type="dxa"/>
          </w:tcPr>
          <w:p w14:paraId="185B63A0" w14:textId="77777777" w:rsidR="00E83D45" w:rsidRPr="00F435EA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509B996" w14:textId="77777777" w:rsidR="00E83D45" w:rsidRPr="00F435E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435EA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F435EA" w14:paraId="2E9935BF" w14:textId="77777777" w:rsidTr="004B520A">
        <w:trPr>
          <w:cantSplit/>
        </w:trPr>
        <w:tc>
          <w:tcPr>
            <w:tcW w:w="6613" w:type="dxa"/>
          </w:tcPr>
          <w:p w14:paraId="56D64D2C" w14:textId="77777777" w:rsidR="00E83D45" w:rsidRPr="00F435EA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65B7B61" w14:textId="77777777" w:rsidR="00E83D45" w:rsidRPr="00F435E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435E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F435EA" w14:paraId="5A384667" w14:textId="77777777" w:rsidTr="004B520A">
        <w:trPr>
          <w:cantSplit/>
        </w:trPr>
        <w:tc>
          <w:tcPr>
            <w:tcW w:w="9811" w:type="dxa"/>
            <w:gridSpan w:val="2"/>
          </w:tcPr>
          <w:p w14:paraId="46AF9D74" w14:textId="77777777" w:rsidR="00681766" w:rsidRPr="00F435EA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435EA" w14:paraId="446EE0DF" w14:textId="77777777" w:rsidTr="004B520A">
        <w:trPr>
          <w:cantSplit/>
        </w:trPr>
        <w:tc>
          <w:tcPr>
            <w:tcW w:w="9811" w:type="dxa"/>
            <w:gridSpan w:val="2"/>
          </w:tcPr>
          <w:p w14:paraId="3BF1C066" w14:textId="77777777" w:rsidR="00E83D45" w:rsidRPr="00F435EA" w:rsidRDefault="00E83D45" w:rsidP="004B520A">
            <w:pPr>
              <w:pStyle w:val="Source"/>
            </w:pPr>
            <w:r w:rsidRPr="00F435EA">
              <w:t>Estados Miembros de la Comisión Interamericana de Telecomunicaciones (CITEL)</w:t>
            </w:r>
          </w:p>
        </w:tc>
      </w:tr>
      <w:tr w:rsidR="00E83D45" w:rsidRPr="00F435EA" w14:paraId="0ED598A1" w14:textId="77777777" w:rsidTr="004B520A">
        <w:trPr>
          <w:cantSplit/>
        </w:trPr>
        <w:tc>
          <w:tcPr>
            <w:tcW w:w="9811" w:type="dxa"/>
            <w:gridSpan w:val="2"/>
          </w:tcPr>
          <w:p w14:paraId="6CB5A05A" w14:textId="2BFCEFEB" w:rsidR="00E83D45" w:rsidRPr="00F435EA" w:rsidRDefault="0075113A" w:rsidP="004B520A">
            <w:pPr>
              <w:pStyle w:val="Title1"/>
            </w:pPr>
            <w:r w:rsidRPr="00F435EA">
              <w:t xml:space="preserve">PROPUESTA DE SUPRESIÓN DE LA RESOLUCIÓN </w:t>
            </w:r>
            <w:r w:rsidR="00E83D45" w:rsidRPr="00F435EA">
              <w:t>68</w:t>
            </w:r>
          </w:p>
        </w:tc>
      </w:tr>
      <w:tr w:rsidR="00E83D45" w:rsidRPr="00F435EA" w14:paraId="3054B76F" w14:textId="77777777" w:rsidTr="004B520A">
        <w:trPr>
          <w:cantSplit/>
        </w:trPr>
        <w:tc>
          <w:tcPr>
            <w:tcW w:w="9811" w:type="dxa"/>
            <w:gridSpan w:val="2"/>
          </w:tcPr>
          <w:p w14:paraId="334D1CC0" w14:textId="77777777" w:rsidR="00E83D45" w:rsidRPr="00F435EA" w:rsidRDefault="00E83D45" w:rsidP="004B520A">
            <w:pPr>
              <w:pStyle w:val="Title2"/>
            </w:pPr>
          </w:p>
        </w:tc>
      </w:tr>
      <w:tr w:rsidR="00E83D45" w:rsidRPr="00F435EA" w14:paraId="5B629CD8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D0DF451" w14:textId="77777777" w:rsidR="00E83D45" w:rsidRPr="00F435EA" w:rsidRDefault="00E83D45" w:rsidP="004B520A">
            <w:pPr>
              <w:pStyle w:val="Agendaitem"/>
            </w:pPr>
          </w:p>
        </w:tc>
      </w:tr>
    </w:tbl>
    <w:p w14:paraId="7127E701" w14:textId="77777777" w:rsidR="006B0F54" w:rsidRPr="00F435EA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F435EA" w14:paraId="0E307030" w14:textId="77777777" w:rsidTr="00193AD1">
        <w:trPr>
          <w:cantSplit/>
        </w:trPr>
        <w:tc>
          <w:tcPr>
            <w:tcW w:w="1560" w:type="dxa"/>
          </w:tcPr>
          <w:p w14:paraId="22D5F7B8" w14:textId="77777777" w:rsidR="006B0F54" w:rsidRPr="00F435EA" w:rsidRDefault="006B0F54" w:rsidP="00193AD1">
            <w:r w:rsidRPr="00F435EA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586E6A83" w14:textId="4E48BBF6" w:rsidR="0075113A" w:rsidRPr="00F435EA" w:rsidRDefault="0075113A" w:rsidP="0075113A">
            <w:pPr>
              <w:rPr>
                <w:color w:val="000000" w:themeColor="text1"/>
              </w:rPr>
            </w:pPr>
            <w:r w:rsidRPr="00F435EA">
              <w:rPr>
                <w:color w:val="000000" w:themeColor="text1"/>
              </w:rPr>
              <w:t xml:space="preserve">Dado que la CITEL ha propuesto una nueva Resolución sobre la evolución del papel </w:t>
            </w:r>
            <w:r w:rsidR="008D1A14" w:rsidRPr="00F435EA">
              <w:rPr>
                <w:color w:val="000000" w:themeColor="text1"/>
              </w:rPr>
              <w:t>de la industria</w:t>
            </w:r>
            <w:r w:rsidRPr="00F435EA">
              <w:rPr>
                <w:color w:val="000000" w:themeColor="text1"/>
              </w:rPr>
              <w:t xml:space="preserve"> en el Sector de la Normalización de las Telecomunicaciones (véase el Add</w:t>
            </w:r>
            <w:r w:rsidR="00F435EA">
              <w:rPr>
                <w:color w:val="000000" w:themeColor="text1"/>
              </w:rPr>
              <w:t>é</w:t>
            </w:r>
            <w:r w:rsidRPr="00F435EA">
              <w:rPr>
                <w:color w:val="000000" w:themeColor="text1"/>
              </w:rPr>
              <w:t>ndum 17 al Documento 39) que incluye las partes dispositivas de la Resolución 68 de la AMNT, y a tenor de las instrucciones de racionalización proporcionadas por la Conferencia de Plenipotenciarios de 2018, se propone suprimir la Resolución 68.</w:t>
            </w:r>
          </w:p>
          <w:p w14:paraId="058D061E" w14:textId="1EAFEB0F" w:rsidR="006B0F54" w:rsidRPr="00F435EA" w:rsidRDefault="006B0F54" w:rsidP="0075113A">
            <w:pPr>
              <w:rPr>
                <w:color w:val="000000" w:themeColor="text1"/>
              </w:rPr>
            </w:pPr>
          </w:p>
        </w:tc>
      </w:tr>
    </w:tbl>
    <w:p w14:paraId="1474D324" w14:textId="77777777" w:rsidR="0051705A" w:rsidRPr="00F435EA" w:rsidRDefault="0051705A" w:rsidP="00C25B5B"/>
    <w:p w14:paraId="60D4D236" w14:textId="77777777" w:rsidR="00B07178" w:rsidRPr="00F435EA" w:rsidRDefault="00B07178" w:rsidP="00C25B5B">
      <w:r w:rsidRPr="00F435EA">
        <w:br w:type="page"/>
      </w:r>
    </w:p>
    <w:p w14:paraId="5F913C0E" w14:textId="77777777" w:rsidR="00E83D45" w:rsidRPr="00F435EA" w:rsidRDefault="00E83D45" w:rsidP="007E5A28"/>
    <w:p w14:paraId="42484E82" w14:textId="77777777" w:rsidR="00B92F3F" w:rsidRPr="00F435EA" w:rsidRDefault="00145F35">
      <w:pPr>
        <w:pStyle w:val="Proposal"/>
      </w:pPr>
      <w:r w:rsidRPr="00F435EA">
        <w:t>SUP</w:t>
      </w:r>
      <w:r w:rsidRPr="00F435EA">
        <w:tab/>
        <w:t>IAP/39A22/1</w:t>
      </w:r>
    </w:p>
    <w:p w14:paraId="63387511" w14:textId="224875A5" w:rsidR="00FD410B" w:rsidRPr="00F435EA" w:rsidRDefault="00145F35" w:rsidP="00134DD6">
      <w:pPr>
        <w:pStyle w:val="ResNo"/>
        <w:rPr>
          <w:rStyle w:val="href"/>
          <w:b/>
          <w:bCs/>
        </w:rPr>
      </w:pPr>
      <w:bookmarkStart w:id="0" w:name="_Toc477787169"/>
      <w:r w:rsidRPr="00F435EA">
        <w:t xml:space="preserve">RESOLUCIÓN </w:t>
      </w:r>
      <w:r w:rsidRPr="00F435EA">
        <w:rPr>
          <w:rStyle w:val="href"/>
          <w:bCs/>
        </w:rPr>
        <w:t xml:space="preserve">68 </w:t>
      </w:r>
      <w:r w:rsidRPr="00F435EA">
        <w:rPr>
          <w:bCs/>
        </w:rPr>
        <w:t>(</w:t>
      </w:r>
      <w:r w:rsidRPr="00F435EA">
        <w:rPr>
          <w:bCs/>
          <w:caps w:val="0"/>
        </w:rPr>
        <w:t>Rev</w:t>
      </w:r>
      <w:r w:rsidRPr="00F435EA">
        <w:rPr>
          <w:bCs/>
        </w:rPr>
        <w:t xml:space="preserve">. </w:t>
      </w:r>
      <w:r w:rsidRPr="00F435EA">
        <w:rPr>
          <w:bCs/>
          <w:caps w:val="0"/>
        </w:rPr>
        <w:t>Hammamet</w:t>
      </w:r>
      <w:r w:rsidRPr="00F435EA">
        <w:rPr>
          <w:bCs/>
        </w:rPr>
        <w:t>, 2016)</w:t>
      </w:r>
      <w:bookmarkEnd w:id="0"/>
    </w:p>
    <w:p w14:paraId="07F0079D" w14:textId="77777777" w:rsidR="00FD410B" w:rsidRPr="00F435EA" w:rsidRDefault="00145F35" w:rsidP="00FD410B">
      <w:pPr>
        <w:pStyle w:val="Restitle"/>
      </w:pPr>
      <w:bookmarkStart w:id="1" w:name="_Toc477787170"/>
      <w:r w:rsidRPr="00F435EA">
        <w:t xml:space="preserve">Evolución del papel de la industria en el Sector de Normalización </w:t>
      </w:r>
      <w:r w:rsidRPr="00F435EA">
        <w:br/>
        <w:t>de las Telecomunicaciones de la UIT</w:t>
      </w:r>
      <w:bookmarkEnd w:id="1"/>
    </w:p>
    <w:p w14:paraId="1E60BDDF" w14:textId="77777777" w:rsidR="00FD410B" w:rsidRPr="00F435EA" w:rsidRDefault="00145F35" w:rsidP="00FD410B">
      <w:pPr>
        <w:pStyle w:val="Resref"/>
      </w:pPr>
      <w:r w:rsidRPr="00F435EA">
        <w:t>(Johannesburgo, 2008; Dubái, 2012; Hammamet, 2016)</w:t>
      </w:r>
    </w:p>
    <w:p w14:paraId="0060D175" w14:textId="77777777" w:rsidR="00FD410B" w:rsidRPr="00F435EA" w:rsidRDefault="00145F35" w:rsidP="00FD410B">
      <w:pPr>
        <w:pStyle w:val="Normalaftertitle"/>
      </w:pPr>
      <w:r w:rsidRPr="00F435EA">
        <w:t>La Asamblea Mundial de Normalización de las Telecomunicaciones (Hammamet, 2016),</w:t>
      </w:r>
    </w:p>
    <w:p w14:paraId="6AF8A72B" w14:textId="0E6EE953" w:rsidR="00B92F3F" w:rsidRDefault="00145F35" w:rsidP="0075113A">
      <w:pPr>
        <w:pStyle w:val="Reasons"/>
      </w:pPr>
      <w:r w:rsidRPr="00F435EA">
        <w:rPr>
          <w:b/>
        </w:rPr>
        <w:t>Motivos:</w:t>
      </w:r>
      <w:r w:rsidRPr="00F435EA">
        <w:tab/>
      </w:r>
      <w:r w:rsidR="0075113A" w:rsidRPr="00F435EA">
        <w:t xml:space="preserve">Una de las principales actividades preparatorias de la AMNT-20 es la revisión de las Resoluciones de la AMNT, con el fin de identificar aquellas que podrían racionalizarse, es decir, suprimirse o modificarse. Entre ellas se encuentra la Resolución 68 (Rev. Hammamet, 2016) relativa a la evolución del papel de la industria en el Sector de la Normalización de las Telecomunicaciones, que resulta redundante a tenor de la nueva Resolución propuesta por la CITEL sobre la importancia de la participación del sector privado en </w:t>
      </w:r>
      <w:r w:rsidR="00B968E8" w:rsidRPr="00F435EA">
        <w:t>los trabajos</w:t>
      </w:r>
      <w:r w:rsidR="0075113A" w:rsidRPr="00F435EA">
        <w:t xml:space="preserve"> del Sector de la Normalización de las Telecomunicaciones, que figura en el Add</w:t>
      </w:r>
      <w:r w:rsidR="00F435EA">
        <w:t>é</w:t>
      </w:r>
      <w:r w:rsidR="0075113A" w:rsidRPr="00F435EA">
        <w:t xml:space="preserve">ndum 17 al Documento 39, y por lo tanto debería suprimirse. </w:t>
      </w:r>
      <w:r w:rsidR="0075113A" w:rsidRPr="00275DEF">
        <w:t>El principal motivo</w:t>
      </w:r>
      <w:r w:rsidR="0075113A" w:rsidRPr="00F435EA">
        <w:t xml:space="preserve"> es que el texto de la Resolución 68 responde en </w:t>
      </w:r>
      <w:r w:rsidR="0075113A" w:rsidRPr="00275DEF">
        <w:t>parte</w:t>
      </w:r>
      <w:r w:rsidR="00275DEF" w:rsidRPr="00275DEF">
        <w:t xml:space="preserve"> a</w:t>
      </w:r>
      <w:r w:rsidR="0075113A" w:rsidRPr="00275DEF">
        <w:t xml:space="preserve"> los</w:t>
      </w:r>
      <w:r w:rsidR="0075113A" w:rsidRPr="00F435EA">
        <w:t xml:space="preserve"> resultados de los debates mantenidos en la AMNT-08 sobre la importancia de organizar reuniones periódicas entre </w:t>
      </w:r>
      <w:r w:rsidR="008D1A14" w:rsidRPr="00F435EA">
        <w:t>d</w:t>
      </w:r>
      <w:r w:rsidR="0075113A" w:rsidRPr="00F435EA">
        <w:t xml:space="preserve">irectores de </w:t>
      </w:r>
      <w:r w:rsidR="008D1A14" w:rsidRPr="00F435EA">
        <w:t>t</w:t>
      </w:r>
      <w:r w:rsidR="0075113A" w:rsidRPr="00F435EA">
        <w:t xml:space="preserve">ecnología y el personal directivo de la TSB, incluido el Director. </w:t>
      </w:r>
      <w:r w:rsidR="0075113A" w:rsidRPr="00D40072">
        <w:t xml:space="preserve">Asimismo, responde a los debates celebrados en el Simposio Mundial de Normalización (SMN) de 2012 que culminaron en la modificación de </w:t>
      </w:r>
      <w:r w:rsidR="00A70DB8" w:rsidRPr="00D40072">
        <w:t>la</w:t>
      </w:r>
      <w:r w:rsidR="00A70DB8">
        <w:t xml:space="preserve"> </w:t>
      </w:r>
      <w:r w:rsidR="0075113A" w:rsidRPr="00F435EA">
        <w:t xml:space="preserve">Resolución 68 en </w:t>
      </w:r>
      <w:r w:rsidR="00B968E8" w:rsidRPr="00F435EA">
        <w:t>cuanto</w:t>
      </w:r>
      <w:r w:rsidR="008D1A14" w:rsidRPr="00F435EA">
        <w:t xml:space="preserve"> a </w:t>
      </w:r>
      <w:r w:rsidR="0075113A" w:rsidRPr="00F435EA">
        <w:t xml:space="preserve">la experiencia y el compromiso de los CTO de celebrar </w:t>
      </w:r>
      <w:r w:rsidR="008D1A14" w:rsidRPr="00F435EA">
        <w:t xml:space="preserve">al menos una reunión al año </w:t>
      </w:r>
      <w:r w:rsidR="0075113A" w:rsidRPr="00F435EA">
        <w:t>y que se han ampliado para incluir reuniones regionales de CxO.</w:t>
      </w:r>
      <w:r w:rsidR="00F435EA">
        <w:br/>
      </w:r>
      <w:r w:rsidR="0075113A" w:rsidRPr="00F435EA">
        <w:t xml:space="preserve">Las referencias anteriores se recogen en la nueva Resolución </w:t>
      </w:r>
      <w:r w:rsidR="008D1A14" w:rsidRPr="00F435EA">
        <w:t xml:space="preserve">de las propuestas interamericanas consignada en </w:t>
      </w:r>
      <w:r w:rsidR="0075113A" w:rsidRPr="00F435EA">
        <w:t>el Add</w:t>
      </w:r>
      <w:r w:rsidR="00F435EA">
        <w:t>é</w:t>
      </w:r>
      <w:r w:rsidR="0075113A" w:rsidRPr="00F435EA">
        <w:t xml:space="preserve">ndum 17 del Documento 39. Una segunda cuestión debatida en el </w:t>
      </w:r>
      <w:r w:rsidR="008D1A14" w:rsidRPr="00F435EA">
        <w:t>SMN</w:t>
      </w:r>
      <w:r w:rsidR="0075113A" w:rsidRPr="00F435EA">
        <w:t xml:space="preserve"> </w:t>
      </w:r>
      <w:r w:rsidR="008D1A14" w:rsidRPr="00F435EA">
        <w:t>de</w:t>
      </w:r>
      <w:r w:rsidR="00E64869">
        <w:t> </w:t>
      </w:r>
      <w:r w:rsidR="0075113A" w:rsidRPr="00F435EA">
        <w:t>2012 fue cómo los países en desarrollo, en el contexto de la reducción de la brecha de normalización, pueden mejorar su participación en las actividades de la UIT</w:t>
      </w:r>
      <w:r w:rsidR="008D1A14" w:rsidRPr="00F435EA">
        <w:t>-</w:t>
      </w:r>
      <w:r w:rsidR="0075113A" w:rsidRPr="00F435EA">
        <w:t>T. Las referencias a estos esfuerzos en la Resolución 68 han sido sustituidas por las acciones descritas en la Resolución</w:t>
      </w:r>
      <w:r w:rsidR="00E64869">
        <w:t> </w:t>
      </w:r>
      <w:r w:rsidR="0075113A" w:rsidRPr="00F435EA">
        <w:t xml:space="preserve">44 (Rev. Hammamet, 2016) sobre la reducción de la brecha de normalización entre los países en desarrollo y </w:t>
      </w:r>
      <w:r w:rsidRPr="00F435EA">
        <w:t xml:space="preserve">los </w:t>
      </w:r>
      <w:r w:rsidR="0075113A" w:rsidRPr="00F435EA">
        <w:t>desarrollados</w:t>
      </w:r>
      <w:r w:rsidR="008D1A14" w:rsidRPr="00F435EA">
        <w:t xml:space="preserve">, así como en </w:t>
      </w:r>
      <w:r w:rsidR="0075113A" w:rsidRPr="00F435EA">
        <w:t xml:space="preserve">otras Resoluciones </w:t>
      </w:r>
      <w:r w:rsidR="008D1A14" w:rsidRPr="00F435EA">
        <w:t>conexas.</w:t>
      </w:r>
    </w:p>
    <w:p w14:paraId="4D4E3E97" w14:textId="77777777" w:rsidR="00F435EA" w:rsidRDefault="00F435EA" w:rsidP="00F435EA"/>
    <w:p w14:paraId="4DC3F348" w14:textId="77777777" w:rsidR="00F435EA" w:rsidRDefault="00F435EA">
      <w:pPr>
        <w:jc w:val="center"/>
      </w:pPr>
      <w:r>
        <w:t>______________</w:t>
      </w:r>
    </w:p>
    <w:sectPr w:rsidR="00F435EA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4529" w14:textId="77777777" w:rsidR="00FC241D" w:rsidRDefault="00FC241D">
      <w:r>
        <w:separator/>
      </w:r>
    </w:p>
  </w:endnote>
  <w:endnote w:type="continuationSeparator" w:id="0">
    <w:p w14:paraId="70AD2563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98C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60764" w14:textId="460DE182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748A">
      <w:rPr>
        <w:noProof/>
      </w:rPr>
      <w:t>19.08.21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5DC8" w14:textId="610AF9CF" w:rsidR="00F3697E" w:rsidRPr="003B748A" w:rsidRDefault="00F3697E" w:rsidP="00F3697E">
    <w:pPr>
      <w:pStyle w:val="Footer"/>
      <w:rPr>
        <w:lang w:val="fr-BE"/>
      </w:rPr>
    </w:pPr>
    <w:r>
      <w:fldChar w:fldCharType="begin"/>
    </w:r>
    <w:r w:rsidRPr="003B748A">
      <w:rPr>
        <w:lang w:val="fr-BE"/>
      </w:rPr>
      <w:instrText xml:space="preserve"> FILENAME \p  \* MERGEFORMAT </w:instrText>
    </w:r>
    <w:r>
      <w:fldChar w:fldCharType="separate"/>
    </w:r>
    <w:r w:rsidRPr="003B748A">
      <w:rPr>
        <w:lang w:val="fr-BE"/>
      </w:rPr>
      <w:t>P:\ESP\ITU-T\CONF-T\WTSA20\000\039ADD22S.docx</w:t>
    </w:r>
    <w:r>
      <w:fldChar w:fldCharType="end"/>
    </w:r>
    <w:r w:rsidRPr="003B748A">
      <w:rPr>
        <w:lang w:val="fr-BE"/>
      </w:rPr>
      <w:t xml:space="preserve"> (493255)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DDCC" w14:textId="52C9B867" w:rsidR="00F3697E" w:rsidRPr="003B748A" w:rsidRDefault="003B748A" w:rsidP="00F3697E">
    <w:pPr>
      <w:pStyle w:val="Footer"/>
      <w:rPr>
        <w:lang w:val="fr-BE"/>
      </w:rPr>
    </w:pPr>
    <w:r>
      <w:fldChar w:fldCharType="begin"/>
    </w:r>
    <w:r w:rsidRPr="003B748A">
      <w:rPr>
        <w:lang w:val="fr-BE"/>
      </w:rPr>
      <w:instrText xml:space="preserve"> FILENAME \p  \* MERGEFORMAT </w:instrText>
    </w:r>
    <w:r>
      <w:fldChar w:fldCharType="separate"/>
    </w:r>
    <w:r w:rsidR="00F3697E" w:rsidRPr="003B748A">
      <w:rPr>
        <w:lang w:val="fr-BE"/>
      </w:rPr>
      <w:t>P:\ESP\ITU-T\CONF-T\WTSA20\000\039ADD22S.docx</w:t>
    </w:r>
    <w:r>
      <w:fldChar w:fldCharType="end"/>
    </w:r>
    <w:r w:rsidR="00F3697E" w:rsidRPr="003B748A">
      <w:rPr>
        <w:lang w:val="fr-BE"/>
      </w:rPr>
      <w:t xml:space="preserve"> (493255)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BF93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B8D1304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E80E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52365021" w14:textId="210ED6EE" w:rsidR="00E83D45" w:rsidRPr="00C72D5C" w:rsidRDefault="002E5627" w:rsidP="00F435EA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3B748A">
      <w:rPr>
        <w:noProof/>
      </w:rPr>
      <w:t>Addéndum 22 al</w:t>
    </w:r>
    <w:r w:rsidR="003B748A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45F3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75DEF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B748A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C101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113A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7F7914"/>
    <w:rsid w:val="00866AE6"/>
    <w:rsid w:val="00866BBD"/>
    <w:rsid w:val="00873B75"/>
    <w:rsid w:val="008750A8"/>
    <w:rsid w:val="00894DCB"/>
    <w:rsid w:val="008D1A14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8052A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70DB8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2F3F"/>
    <w:rsid w:val="00B968E8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40072"/>
    <w:rsid w:val="00D56781"/>
    <w:rsid w:val="00D72A5D"/>
    <w:rsid w:val="00DC629B"/>
    <w:rsid w:val="00E05BFF"/>
    <w:rsid w:val="00E21778"/>
    <w:rsid w:val="00E262F1"/>
    <w:rsid w:val="00E32BEE"/>
    <w:rsid w:val="00E47B44"/>
    <w:rsid w:val="00E64869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3697E"/>
    <w:rsid w:val="00F435EA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B38240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e41fbb-1c05-40ab-98f2-44ba94a6fc92" targetNamespace="http://schemas.microsoft.com/office/2006/metadata/properties" ma:root="true" ma:fieldsID="d41af5c836d734370eb92e7ee5f83852" ns2:_="" ns3:_="">
    <xsd:import namespace="996b2e75-67fd-4955-a3b0-5ab9934cb50b"/>
    <xsd:import namespace="8de41fbb-1c05-40ab-98f2-44ba94a6fc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41fbb-1c05-40ab-98f2-44ba94a6fc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e41fbb-1c05-40ab-98f2-44ba94a6fc92">DPM</DPM_x0020_Author>
    <DPM_x0020_File_x0020_name xmlns="8de41fbb-1c05-40ab-98f2-44ba94a6fc92">T17-WTSA.20-C-0039!A22!MSW-S</DPM_x0020_File_x0020_name>
    <DPM_x0020_Version xmlns="8de41fbb-1c05-40ab-98f2-44ba94a6fc92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e41fbb-1c05-40ab-98f2-44ba94a6f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8de41fbb-1c05-40ab-98f2-44ba94a6fc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T17-WTSA.20-C-0039!A22!MSW-S</vt:lpstr>
    </vt:vector>
  </TitlesOfParts>
  <Manager>Secretaría General - Pool</Manager>
  <Company>International Telecommunication Union (ITU)</Company>
  <LinksUpToDate>false</LinksUpToDate>
  <CharactersWithSpaces>2958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T17-WTSA.20-C-0039!A22!MSW-S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6</cp:revision>
  <cp:lastPrinted>2016-03-08T15:23:00Z</cp:lastPrinted>
  <dcterms:created xsi:type="dcterms:W3CDTF">2021-08-19T08:58:00Z</dcterms:created>
  <dcterms:modified xsi:type="dcterms:W3CDTF">2021-09-20T14:20:00Z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