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334B369E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16DE8462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7189733F" w14:textId="37E343DE" w:rsidR="00A33A95" w:rsidRPr="00136B82" w:rsidRDefault="00A8303E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1173B50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5A8A58B" wp14:editId="11E3A4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5D727BF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677B1AF8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8C6988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7754C2B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5A1CB203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9E5FF0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E87AF1" w14:paraId="3C0784DB" w14:textId="77777777" w:rsidTr="004E2A5D">
        <w:trPr>
          <w:cantSplit/>
        </w:trPr>
        <w:tc>
          <w:tcPr>
            <w:tcW w:w="6619" w:type="dxa"/>
            <w:gridSpan w:val="2"/>
          </w:tcPr>
          <w:p w14:paraId="59F7CFEE" w14:textId="77777777" w:rsidR="00A809E8" w:rsidRPr="00E87AF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E87AF1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2F0D427" w14:textId="77777777" w:rsidR="00A809E8" w:rsidRPr="00E87AF1" w:rsidRDefault="005C3880" w:rsidP="005C3880">
            <w:pPr>
              <w:pStyle w:val="Adress"/>
              <w:framePr w:hSpace="0" w:wrap="auto" w:xAlign="left" w:yAlign="inline"/>
              <w:spacing w:before="40" w:after="40"/>
            </w:pPr>
            <w:r w:rsidRPr="00E87AF1">
              <w:rPr>
                <w:rtl/>
              </w:rPr>
              <w:t xml:space="preserve">الإضافة </w:t>
            </w:r>
            <w:r w:rsidRPr="00E87AF1">
              <w:t>22</w:t>
            </w:r>
            <w:r w:rsidRPr="00E87AF1">
              <w:br/>
            </w:r>
            <w:r w:rsidR="00E87AF1">
              <w:rPr>
                <w:rFonts w:hint="cs"/>
                <w:rtl/>
              </w:rPr>
              <w:t xml:space="preserve">للوثيقة </w:t>
            </w:r>
            <w:r w:rsidR="00E87AF1">
              <w:t>39-A</w:t>
            </w:r>
          </w:p>
        </w:tc>
      </w:tr>
      <w:tr w:rsidR="005C3880" w:rsidRPr="00E87AF1" w14:paraId="309DD4A0" w14:textId="77777777" w:rsidTr="004E2A5D">
        <w:trPr>
          <w:cantSplit/>
        </w:trPr>
        <w:tc>
          <w:tcPr>
            <w:tcW w:w="6619" w:type="dxa"/>
            <w:gridSpan w:val="2"/>
          </w:tcPr>
          <w:p w14:paraId="0780913D" w14:textId="77777777" w:rsidR="005C3880" w:rsidRPr="00E87AF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A50962B" w14:textId="77777777" w:rsidR="005C3880" w:rsidRPr="00E87AF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E87AF1">
              <w:rPr>
                <w:rFonts w:eastAsia="SimSun"/>
              </w:rPr>
              <w:t>24</w:t>
            </w:r>
            <w:r w:rsidRPr="00E87AF1">
              <w:rPr>
                <w:rFonts w:eastAsia="SimSun"/>
                <w:rtl/>
              </w:rPr>
              <w:t xml:space="preserve"> مارس </w:t>
            </w:r>
            <w:r w:rsidRPr="00E87AF1">
              <w:rPr>
                <w:rFonts w:eastAsia="SimSun"/>
              </w:rPr>
              <w:t>2021</w:t>
            </w:r>
          </w:p>
        </w:tc>
      </w:tr>
      <w:tr w:rsidR="005C3880" w:rsidRPr="00E87AF1" w14:paraId="0E53091F" w14:textId="77777777" w:rsidTr="004E2A5D">
        <w:trPr>
          <w:cantSplit/>
        </w:trPr>
        <w:tc>
          <w:tcPr>
            <w:tcW w:w="6619" w:type="dxa"/>
            <w:gridSpan w:val="2"/>
          </w:tcPr>
          <w:p w14:paraId="31F2D245" w14:textId="77777777" w:rsidR="005C3880" w:rsidRPr="00E87AF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B797A3B" w14:textId="77777777" w:rsidR="005C3880" w:rsidRPr="00E87AF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E87AF1">
              <w:rPr>
                <w:rtl/>
              </w:rPr>
              <w:t>الأصل: بالإنكليزية</w:t>
            </w:r>
          </w:p>
        </w:tc>
      </w:tr>
      <w:tr w:rsidR="005C3880" w14:paraId="471B104E" w14:textId="77777777" w:rsidTr="004E2A5D">
        <w:trPr>
          <w:cantSplit/>
        </w:trPr>
        <w:tc>
          <w:tcPr>
            <w:tcW w:w="9672" w:type="dxa"/>
            <w:gridSpan w:val="3"/>
          </w:tcPr>
          <w:p w14:paraId="22919C04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92CC3A0" w14:textId="77777777" w:rsidTr="004E2A5D">
        <w:trPr>
          <w:cantSplit/>
        </w:trPr>
        <w:tc>
          <w:tcPr>
            <w:tcW w:w="9672" w:type="dxa"/>
            <w:gridSpan w:val="3"/>
          </w:tcPr>
          <w:p w14:paraId="744D6BC8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004AA601" w14:textId="77777777" w:rsidTr="004E2A5D">
        <w:trPr>
          <w:cantSplit/>
        </w:trPr>
        <w:tc>
          <w:tcPr>
            <w:tcW w:w="9672" w:type="dxa"/>
            <w:gridSpan w:val="3"/>
          </w:tcPr>
          <w:p w14:paraId="2559C797" w14:textId="57FC2442" w:rsidR="005C3880" w:rsidRPr="00BD6EF3" w:rsidRDefault="00F514E9" w:rsidP="005C388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 ل</w:t>
            </w:r>
            <w:r w:rsidR="00802F3A">
              <w:rPr>
                <w:rFonts w:hint="cs"/>
                <w:rtl/>
              </w:rPr>
              <w:t>إلغاء ا</w:t>
            </w:r>
            <w:r>
              <w:rPr>
                <w:rFonts w:hint="cs"/>
                <w:rtl/>
              </w:rPr>
              <w:t>لقرار</w:t>
            </w:r>
            <w:r w:rsidR="00E87AF1">
              <w:rPr>
                <w:rFonts w:hint="cs"/>
                <w:rtl/>
              </w:rPr>
              <w:t xml:space="preserve"> </w:t>
            </w:r>
            <w:r w:rsidR="00E87AF1">
              <w:t>68</w:t>
            </w:r>
          </w:p>
        </w:tc>
      </w:tr>
      <w:tr w:rsidR="005C3880" w14:paraId="07F337E3" w14:textId="77777777" w:rsidTr="004E2A5D">
        <w:trPr>
          <w:cantSplit/>
        </w:trPr>
        <w:tc>
          <w:tcPr>
            <w:tcW w:w="9672" w:type="dxa"/>
            <w:gridSpan w:val="3"/>
          </w:tcPr>
          <w:p w14:paraId="4ACF260A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408E5D1A" w14:textId="77777777" w:rsidTr="00FC7FD8">
        <w:trPr>
          <w:cantSplit/>
        </w:trPr>
        <w:tc>
          <w:tcPr>
            <w:tcW w:w="9672" w:type="dxa"/>
            <w:gridSpan w:val="3"/>
          </w:tcPr>
          <w:p w14:paraId="18B3B0B2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3FCF1F62" w14:textId="77777777" w:rsidTr="00FC7FD8">
        <w:trPr>
          <w:cantSplit/>
        </w:trPr>
        <w:tc>
          <w:tcPr>
            <w:tcW w:w="1348" w:type="dxa"/>
          </w:tcPr>
          <w:p w14:paraId="30969061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1B2D9C3A" w14:textId="26F8CF57" w:rsidR="00802F3A" w:rsidRPr="0003401B" w:rsidRDefault="00802F3A" w:rsidP="0003401B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نظراً إلى</w:t>
            </w:r>
            <w:r w:rsidR="00B3320F" w:rsidRPr="00802F3A">
              <w:rPr>
                <w:rFonts w:hint="cs"/>
                <w:rtl/>
                <w:lang w:bidi="ar-EG"/>
              </w:rPr>
              <w:t xml:space="preserve"> أن لجنة البلدان الأمريكية للاتصالات قد اقترحت قراراً جديداً</w:t>
            </w:r>
            <w:r w:rsidR="00E87AF1" w:rsidRPr="00802F3A">
              <w:rPr>
                <w:rFonts w:hint="cs"/>
                <w:rtl/>
                <w:lang w:bidi="ar-EG"/>
              </w:rPr>
              <w:t xml:space="preserve"> بشأن الدور المتطور للصناعة في قطاع تقييس الاتصالات (انظر الإضافة </w:t>
            </w:r>
            <w:r w:rsidR="00E87AF1" w:rsidRPr="00802F3A">
              <w:rPr>
                <w:lang w:bidi="ar-EG"/>
              </w:rPr>
              <w:t>17</w:t>
            </w:r>
            <w:r w:rsidR="00E87AF1" w:rsidRPr="00802F3A">
              <w:rPr>
                <w:rFonts w:hint="cs"/>
                <w:rtl/>
                <w:lang w:bidi="ar-EG"/>
              </w:rPr>
              <w:t xml:space="preserve"> للوثيقة </w:t>
            </w:r>
            <w:r w:rsidR="00E87AF1" w:rsidRPr="00802F3A">
              <w:rPr>
                <w:lang w:bidi="ar-EG"/>
              </w:rPr>
              <w:t>39</w:t>
            </w:r>
            <w:r w:rsidR="00E87AF1" w:rsidRPr="00802F3A">
              <w:rPr>
                <w:rFonts w:hint="cs"/>
                <w:rtl/>
                <w:lang w:bidi="ar-EG"/>
              </w:rPr>
              <w:t>) يتضمن</w:t>
            </w:r>
            <w:r>
              <w:rPr>
                <w:rFonts w:hint="cs"/>
                <w:rtl/>
                <w:lang w:bidi="ar-EG"/>
              </w:rPr>
              <w:t xml:space="preserve"> نص منطوق</w:t>
            </w:r>
            <w:r w:rsidR="00B3320F" w:rsidRPr="00802F3A">
              <w:rPr>
                <w:rFonts w:hint="cs"/>
                <w:rtl/>
                <w:lang w:bidi="ar-EG"/>
              </w:rPr>
              <w:t xml:space="preserve"> القرار </w:t>
            </w:r>
            <w:r w:rsidR="00B3320F" w:rsidRPr="00802F3A">
              <w:rPr>
                <w:lang w:bidi="ar-EG"/>
              </w:rPr>
              <w:t>68</w:t>
            </w:r>
            <w:r w:rsidR="00B3320F" w:rsidRPr="00802F3A">
              <w:rPr>
                <w:rFonts w:hint="cs"/>
                <w:rtl/>
                <w:lang w:bidi="ar-EG"/>
              </w:rPr>
              <w:t xml:space="preserve"> للجمعية العالمية لتقييس الاتصالات ومراعاة</w:t>
            </w:r>
            <w:r w:rsidR="00B75E8A">
              <w:rPr>
                <w:rFonts w:hint="cs"/>
                <w:rtl/>
                <w:lang w:bidi="ar-EG"/>
              </w:rPr>
              <w:t>ً</w:t>
            </w:r>
            <w:r w:rsidR="00B3320F" w:rsidRPr="00802F3A">
              <w:rPr>
                <w:rFonts w:hint="cs"/>
                <w:rtl/>
                <w:lang w:bidi="ar-EG"/>
              </w:rPr>
              <w:t xml:space="preserve"> لتوجيهات مؤتمر المندوبين المفوضين لعام</w:t>
            </w:r>
            <w:r w:rsidR="00B3320F" w:rsidRPr="00802F3A">
              <w:rPr>
                <w:rFonts w:hint="eastAsia"/>
                <w:rtl/>
                <w:lang w:bidi="ar-EG"/>
              </w:rPr>
              <w:t> </w:t>
            </w:r>
            <w:r w:rsidR="00B3320F" w:rsidRPr="00802F3A">
              <w:rPr>
                <w:lang w:bidi="ar-EG"/>
              </w:rPr>
              <w:t>2018</w:t>
            </w:r>
            <w:r>
              <w:rPr>
                <w:rFonts w:hint="cs"/>
                <w:rtl/>
                <w:lang w:bidi="ar-EG"/>
              </w:rPr>
              <w:t xml:space="preserve"> فيما يتعلق بالتبسيط</w:t>
            </w:r>
            <w:r w:rsidR="00B3320F" w:rsidRPr="00802F3A">
              <w:rPr>
                <w:rFonts w:hint="cs"/>
                <w:rtl/>
                <w:lang w:bidi="ar-EG"/>
              </w:rPr>
              <w:t xml:space="preserve">، يُقترح إلغاء القرار </w:t>
            </w:r>
            <w:r w:rsidR="00B3320F" w:rsidRPr="00802F3A">
              <w:rPr>
                <w:lang w:bidi="ar-EG"/>
              </w:rPr>
              <w:t>68</w:t>
            </w:r>
            <w:r w:rsidR="00B3320F" w:rsidRPr="00802F3A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07F3C2EE" w14:textId="77777777" w:rsidR="00FC7FD8" w:rsidRDefault="00FC7FD8" w:rsidP="00790154"/>
    <w:p w14:paraId="1A8FF67C" w14:textId="77777777" w:rsidR="0012545F" w:rsidRDefault="0012545F" w:rsidP="0003401B">
      <w:pPr>
        <w:spacing w:before="0" w:line="240" w:lineRule="auto"/>
        <w:jc w:val="left"/>
        <w:rPr>
          <w:rtl/>
          <w:lang w:bidi="ar-EG"/>
        </w:rPr>
      </w:pPr>
      <w:r>
        <w:rPr>
          <w:rtl/>
        </w:rPr>
        <w:br w:type="page"/>
      </w:r>
    </w:p>
    <w:p w14:paraId="1FEFB80F" w14:textId="77777777" w:rsidR="004C4818" w:rsidRDefault="00B3320F">
      <w:pPr>
        <w:pStyle w:val="Proposal"/>
      </w:pPr>
      <w:r>
        <w:lastRenderedPageBreak/>
        <w:t>SUP</w:t>
      </w:r>
      <w:r>
        <w:tab/>
        <w:t>IAP/39A22/1</w:t>
      </w:r>
    </w:p>
    <w:p w14:paraId="4A74D617" w14:textId="77777777" w:rsidR="00851760" w:rsidRPr="00410333" w:rsidRDefault="00B3320F" w:rsidP="00E952D6">
      <w:pPr>
        <w:pStyle w:val="ResNo"/>
        <w:rPr>
          <w:rtl/>
        </w:rPr>
      </w:pPr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68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t>2016</w:t>
      </w:r>
      <w:r w:rsidRPr="00410333">
        <w:rPr>
          <w:rFonts w:hint="cs"/>
          <w:rtl/>
        </w:rPr>
        <w:t>)</w:t>
      </w:r>
    </w:p>
    <w:p w14:paraId="7F46047F" w14:textId="77777777" w:rsidR="00851760" w:rsidRPr="00410333" w:rsidRDefault="00B3320F" w:rsidP="00E952D6">
      <w:pPr>
        <w:pStyle w:val="Restitle"/>
        <w:rPr>
          <w:i/>
          <w:noProof/>
          <w:spacing w:val="4"/>
          <w:rtl/>
          <w:lang w:bidi="ar-EG"/>
        </w:rPr>
      </w:pPr>
      <w:r w:rsidRPr="00410333">
        <w:rPr>
          <w:noProof/>
          <w:spacing w:val="4"/>
          <w:rtl/>
          <w:lang w:val="fr-FR"/>
        </w:rPr>
        <w:t xml:space="preserve">الدور المتطور </w:t>
      </w:r>
      <w:r w:rsidRPr="00410333">
        <w:rPr>
          <w:rFonts w:hint="eastAsia"/>
          <w:noProof/>
          <w:spacing w:val="4"/>
          <w:rtl/>
          <w:lang w:val="fr-FR"/>
        </w:rPr>
        <w:t>لدوائر</w:t>
      </w:r>
      <w:r w:rsidRPr="00410333">
        <w:rPr>
          <w:noProof/>
          <w:spacing w:val="4"/>
          <w:rtl/>
          <w:lang w:val="fr-FR"/>
        </w:rPr>
        <w:t xml:space="preserve"> </w:t>
      </w:r>
      <w:r w:rsidRPr="00410333">
        <w:rPr>
          <w:rFonts w:hint="eastAsia"/>
          <w:noProof/>
          <w:spacing w:val="4"/>
          <w:rtl/>
          <w:lang w:val="fr-FR"/>
        </w:rPr>
        <w:t>الصناعة</w:t>
      </w:r>
      <w:r w:rsidRPr="00410333">
        <w:rPr>
          <w:noProof/>
          <w:spacing w:val="4"/>
          <w:rtl/>
          <w:lang w:val="fr-FR"/>
        </w:rPr>
        <w:t xml:space="preserve"> في </w:t>
      </w:r>
      <w:r w:rsidRPr="00410333">
        <w:rPr>
          <w:rFonts w:hint="eastAsia"/>
          <w:noProof/>
          <w:spacing w:val="4"/>
          <w:rtl/>
          <w:lang w:val="fr-FR"/>
        </w:rPr>
        <w:t>قطاع</w:t>
      </w:r>
      <w:r w:rsidRPr="00410333">
        <w:rPr>
          <w:noProof/>
          <w:spacing w:val="4"/>
          <w:rtl/>
          <w:lang w:val="fr-FR"/>
        </w:rPr>
        <w:t xml:space="preserve"> </w:t>
      </w:r>
      <w:r w:rsidRPr="00410333">
        <w:rPr>
          <w:rFonts w:hint="eastAsia"/>
          <w:noProof/>
          <w:spacing w:val="4"/>
          <w:rtl/>
          <w:lang w:val="fr-FR"/>
        </w:rPr>
        <w:t>تقييس</w:t>
      </w:r>
      <w:r w:rsidRPr="00410333">
        <w:rPr>
          <w:noProof/>
          <w:spacing w:val="4"/>
          <w:rtl/>
          <w:lang w:val="fr-FR"/>
        </w:rPr>
        <w:t xml:space="preserve"> </w:t>
      </w:r>
      <w:r w:rsidRPr="00410333">
        <w:rPr>
          <w:rFonts w:hint="eastAsia"/>
          <w:noProof/>
          <w:spacing w:val="4"/>
          <w:rtl/>
          <w:lang w:val="fr-FR"/>
        </w:rPr>
        <w:t>الاتصالات</w:t>
      </w:r>
    </w:p>
    <w:p w14:paraId="3C277BAA" w14:textId="77777777" w:rsidR="00851760" w:rsidRPr="005F71A3" w:rsidRDefault="00B3320F" w:rsidP="00E952D6">
      <w:pPr>
        <w:pStyle w:val="Resref"/>
        <w:rPr>
          <w:iCs w:val="0"/>
          <w:rtl/>
        </w:rPr>
      </w:pPr>
      <w:r w:rsidRPr="005F71A3">
        <w:rPr>
          <w:rtl/>
        </w:rPr>
        <w:t>(</w:t>
      </w:r>
      <w:r w:rsidRPr="005F71A3">
        <w:rPr>
          <w:rFonts w:hint="cs"/>
          <w:rtl/>
        </w:rPr>
        <w:t xml:space="preserve">جوهانسبرغ، </w:t>
      </w:r>
      <w:r w:rsidRPr="005F71A3">
        <w:t>2008</w:t>
      </w:r>
      <w:r w:rsidRPr="005F71A3">
        <w:rPr>
          <w:rFonts w:hint="cs"/>
          <w:rtl/>
          <w:lang w:bidi="ar-SY"/>
        </w:rPr>
        <w:t xml:space="preserve">؛ دبي، </w:t>
      </w:r>
      <w:r w:rsidRPr="005F71A3">
        <w:t>2012</w:t>
      </w:r>
      <w:r w:rsidRPr="005F71A3">
        <w:rPr>
          <w:rFonts w:hint="cs"/>
          <w:rtl/>
          <w:lang w:bidi="ar-EG"/>
        </w:rPr>
        <w:t xml:space="preserve">؛ الحمامات، </w:t>
      </w:r>
      <w:r w:rsidRPr="005F71A3">
        <w:t>2016</w:t>
      </w:r>
      <w:r w:rsidRPr="005F71A3">
        <w:rPr>
          <w:rtl/>
        </w:rPr>
        <w:t>)</w:t>
      </w:r>
    </w:p>
    <w:p w14:paraId="51C00897" w14:textId="77777777" w:rsidR="00851760" w:rsidRPr="00410333" w:rsidRDefault="00B3320F" w:rsidP="00DC4C3C">
      <w:pPr>
        <w:pStyle w:val="Normalaftertitle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bidi="ar-EG"/>
        </w:rPr>
        <w:t xml:space="preserve">الحمامات، </w:t>
      </w:r>
      <w:r w:rsidRPr="00410333">
        <w:rPr>
          <w:noProof/>
          <w:lang w:bidi="ar-EG"/>
        </w:rPr>
        <w:t>2016</w:t>
      </w:r>
      <w:r w:rsidRPr="00410333">
        <w:rPr>
          <w:noProof/>
          <w:rtl/>
          <w:lang w:bidi="ar-EG"/>
        </w:rPr>
        <w:t>)،</w:t>
      </w:r>
    </w:p>
    <w:p w14:paraId="4F166EE8" w14:textId="7B864ABA" w:rsidR="004C4818" w:rsidRPr="0048672C" w:rsidRDefault="00B3320F" w:rsidP="008B3D6F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b w:val="0"/>
          <w:bCs w:val="0"/>
          <w:rtl/>
        </w:rPr>
      </w:pPr>
      <w:r w:rsidRPr="0048672C">
        <w:rPr>
          <w:rtl/>
        </w:rPr>
        <w:t>الأسباب</w:t>
      </w:r>
      <w:r w:rsidRPr="0048672C">
        <w:rPr>
          <w:b w:val="0"/>
          <w:bCs w:val="0"/>
          <w:rtl/>
        </w:rPr>
        <w:t>:</w:t>
      </w:r>
      <w:r w:rsidR="00EB4A6E" w:rsidRPr="0048672C">
        <w:rPr>
          <w:b w:val="0"/>
          <w:bCs w:val="0"/>
          <w:rtl/>
        </w:rPr>
        <w:tab/>
      </w:r>
      <w:r w:rsidR="003D3F50" w:rsidRPr="0048672C">
        <w:rPr>
          <w:rFonts w:hint="cs"/>
          <w:b w:val="0"/>
          <w:bCs w:val="0"/>
          <w:rtl/>
        </w:rPr>
        <w:t>إن</w:t>
      </w:r>
      <w:r w:rsidR="00962CB5" w:rsidRPr="0048672C">
        <w:rPr>
          <w:b w:val="0"/>
          <w:bCs w:val="0"/>
          <w:rtl/>
        </w:rPr>
        <w:t xml:space="preserve"> </w:t>
      </w:r>
      <w:r w:rsidR="003D3F50" w:rsidRPr="0048672C">
        <w:rPr>
          <w:rFonts w:hint="cs"/>
          <w:b w:val="0"/>
          <w:bCs w:val="0"/>
          <w:rtl/>
        </w:rPr>
        <w:t>مراجعة قرارات الجمعية العالمية لتقييس الاتصالات</w:t>
      </w:r>
      <w:r w:rsidR="00962CB5" w:rsidRPr="0048672C">
        <w:rPr>
          <w:b w:val="0"/>
          <w:bCs w:val="0"/>
          <w:rtl/>
        </w:rPr>
        <w:t xml:space="preserve"> </w:t>
      </w:r>
      <w:r w:rsidR="003D3F50" w:rsidRPr="0048672C">
        <w:rPr>
          <w:rFonts w:hint="cs"/>
          <w:b w:val="0"/>
          <w:bCs w:val="0"/>
          <w:rtl/>
        </w:rPr>
        <w:t>هي</w:t>
      </w:r>
      <w:r w:rsidR="00962CB5" w:rsidRPr="0048672C">
        <w:rPr>
          <w:b w:val="0"/>
          <w:bCs w:val="0"/>
          <w:rtl/>
        </w:rPr>
        <w:t xml:space="preserve"> </w:t>
      </w:r>
      <w:r w:rsidR="00E54144" w:rsidRPr="0048672C">
        <w:rPr>
          <w:rFonts w:hint="eastAsia"/>
          <w:b w:val="0"/>
          <w:bCs w:val="0"/>
          <w:rtl/>
        </w:rPr>
        <w:t>أحد</w:t>
      </w:r>
      <w:r w:rsidR="00E54144" w:rsidRPr="0048672C">
        <w:rPr>
          <w:b w:val="0"/>
          <w:bCs w:val="0"/>
          <w:rtl/>
        </w:rPr>
        <w:t xml:space="preserve"> </w:t>
      </w:r>
      <w:r w:rsidR="003D3F50" w:rsidRPr="0048672C">
        <w:rPr>
          <w:rFonts w:hint="cs"/>
          <w:b w:val="0"/>
          <w:bCs w:val="0"/>
          <w:rtl/>
        </w:rPr>
        <w:t xml:space="preserve">الأنشطة الرئيسية في التحضير للجمعية </w:t>
      </w:r>
      <w:r w:rsidR="00065137" w:rsidRPr="0048672C">
        <w:rPr>
          <w:rFonts w:hint="cs"/>
          <w:b w:val="0"/>
          <w:bCs w:val="0"/>
          <w:rtl/>
        </w:rPr>
        <w:t>العالمية</w:t>
      </w:r>
      <w:r w:rsidR="003D3F50" w:rsidRPr="0048672C">
        <w:rPr>
          <w:rFonts w:hint="cs"/>
          <w:b w:val="0"/>
          <w:bCs w:val="0"/>
          <w:rtl/>
        </w:rPr>
        <w:t xml:space="preserve"> لتقييس الاتصالات</w:t>
      </w:r>
      <w:r w:rsidR="00E54144" w:rsidRPr="0048672C">
        <w:rPr>
          <w:rFonts w:hint="cs"/>
          <w:b w:val="0"/>
          <w:bCs w:val="0"/>
          <w:rtl/>
        </w:rPr>
        <w:t xml:space="preserve"> لعام 2020</w:t>
      </w:r>
      <w:r w:rsidR="008B02FC" w:rsidRPr="0048672C">
        <w:rPr>
          <w:rFonts w:hint="eastAsia"/>
          <w:b w:val="0"/>
          <w:bCs w:val="0"/>
          <w:rtl/>
        </w:rPr>
        <w:t>،</w:t>
      </w:r>
      <w:r w:rsidR="003D3F50" w:rsidRPr="0048672C">
        <w:rPr>
          <w:rFonts w:hint="cs"/>
          <w:b w:val="0"/>
          <w:bCs w:val="0"/>
          <w:rtl/>
        </w:rPr>
        <w:t xml:space="preserve"> </w:t>
      </w:r>
      <w:r w:rsidR="0028429F" w:rsidRPr="0048672C">
        <w:rPr>
          <w:rFonts w:hint="cs"/>
          <w:b w:val="0"/>
          <w:bCs w:val="0"/>
          <w:rtl/>
        </w:rPr>
        <w:t>وتهدف</w:t>
      </w:r>
      <w:r w:rsidR="003D3F50" w:rsidRPr="0048672C">
        <w:rPr>
          <w:rFonts w:hint="cs"/>
          <w:b w:val="0"/>
          <w:bCs w:val="0"/>
          <w:rtl/>
        </w:rPr>
        <w:t xml:space="preserve"> </w:t>
      </w:r>
      <w:r w:rsidR="00E54144" w:rsidRPr="0048672C">
        <w:rPr>
          <w:rFonts w:hint="cs"/>
          <w:b w:val="0"/>
          <w:bCs w:val="0"/>
          <w:rtl/>
        </w:rPr>
        <w:t>إ</w:t>
      </w:r>
      <w:r w:rsidR="0028429F" w:rsidRPr="0048672C">
        <w:rPr>
          <w:rFonts w:hint="cs"/>
          <w:b w:val="0"/>
          <w:bCs w:val="0"/>
          <w:rtl/>
        </w:rPr>
        <w:t>ل</w:t>
      </w:r>
      <w:r w:rsidR="00E54144" w:rsidRPr="0048672C">
        <w:rPr>
          <w:rFonts w:hint="cs"/>
          <w:b w:val="0"/>
          <w:bCs w:val="0"/>
          <w:rtl/>
        </w:rPr>
        <w:t xml:space="preserve">ى </w:t>
      </w:r>
      <w:r w:rsidR="003D3F50" w:rsidRPr="0048672C">
        <w:rPr>
          <w:rFonts w:hint="cs"/>
          <w:b w:val="0"/>
          <w:bCs w:val="0"/>
          <w:rtl/>
        </w:rPr>
        <w:t xml:space="preserve">تحديد القرارات المرشحة للتبسيط، أي الإلغاء أو </w:t>
      </w:r>
      <w:r w:rsidR="00E54144" w:rsidRPr="0048672C">
        <w:rPr>
          <w:rFonts w:hint="cs"/>
          <w:b w:val="0"/>
          <w:bCs w:val="0"/>
          <w:rtl/>
        </w:rPr>
        <w:t xml:space="preserve">الحذف </w:t>
      </w:r>
      <w:r w:rsidR="003D3F50" w:rsidRPr="0048672C">
        <w:rPr>
          <w:rFonts w:hint="cs"/>
          <w:b w:val="0"/>
          <w:bCs w:val="0"/>
          <w:rtl/>
        </w:rPr>
        <w:t xml:space="preserve">أو التعديل. وأحد </w:t>
      </w:r>
      <w:r w:rsidR="00E54144" w:rsidRPr="0048672C">
        <w:rPr>
          <w:rFonts w:hint="eastAsia"/>
          <w:b w:val="0"/>
          <w:bCs w:val="0"/>
          <w:rtl/>
        </w:rPr>
        <w:t>القرارات</w:t>
      </w:r>
      <w:r w:rsidR="00E54144" w:rsidRPr="0048672C">
        <w:rPr>
          <w:rFonts w:hint="cs"/>
          <w:b w:val="0"/>
          <w:bCs w:val="0"/>
          <w:rtl/>
        </w:rPr>
        <w:t xml:space="preserve"> </w:t>
      </w:r>
      <w:r w:rsidR="003D3F50" w:rsidRPr="0048672C">
        <w:rPr>
          <w:rFonts w:hint="cs"/>
          <w:b w:val="0"/>
          <w:bCs w:val="0"/>
          <w:rtl/>
        </w:rPr>
        <w:t>المرشحة هو القرار 68 (المراجع في الحمّامات، 2016) بشأن الدور المتطور للصناعة في قطاع تقييس الاتصالات</w:t>
      </w:r>
      <w:r w:rsidR="000A68A3" w:rsidRPr="0048672C">
        <w:rPr>
          <w:rFonts w:hint="cs"/>
          <w:b w:val="0"/>
          <w:bCs w:val="0"/>
          <w:rtl/>
        </w:rPr>
        <w:t>، والذي يعد مكررا</w:t>
      </w:r>
      <w:r w:rsidR="00E54144" w:rsidRPr="0048672C">
        <w:rPr>
          <w:rFonts w:hint="cs"/>
          <w:b w:val="0"/>
          <w:bCs w:val="0"/>
          <w:rtl/>
        </w:rPr>
        <w:t>ً</w:t>
      </w:r>
      <w:r w:rsidR="000A68A3" w:rsidRPr="0048672C">
        <w:rPr>
          <w:rFonts w:hint="cs"/>
          <w:b w:val="0"/>
          <w:bCs w:val="0"/>
          <w:rtl/>
        </w:rPr>
        <w:t xml:space="preserve"> </w:t>
      </w:r>
      <w:r w:rsidR="00E54144" w:rsidRPr="0048672C">
        <w:rPr>
          <w:rFonts w:hint="eastAsia"/>
          <w:b w:val="0"/>
          <w:bCs w:val="0"/>
          <w:rtl/>
        </w:rPr>
        <w:t>وينبغي</w:t>
      </w:r>
      <w:r w:rsidR="00E54144" w:rsidRPr="0048672C">
        <w:rPr>
          <w:rFonts w:hint="cs"/>
          <w:b w:val="0"/>
          <w:bCs w:val="0"/>
          <w:rtl/>
        </w:rPr>
        <w:t xml:space="preserve"> </w:t>
      </w:r>
      <w:r w:rsidR="000A68A3" w:rsidRPr="0048672C">
        <w:rPr>
          <w:rFonts w:hint="cs"/>
          <w:b w:val="0"/>
          <w:bCs w:val="0"/>
          <w:rtl/>
        </w:rPr>
        <w:t xml:space="preserve">إلغاؤه في ظل القرار </w:t>
      </w:r>
      <w:r w:rsidR="0055425A" w:rsidRPr="0048672C">
        <w:rPr>
          <w:rFonts w:hint="cs"/>
          <w:b w:val="0"/>
          <w:bCs w:val="0"/>
          <w:rtl/>
        </w:rPr>
        <w:t xml:space="preserve">الجديد </w:t>
      </w:r>
      <w:r w:rsidR="000A68A3" w:rsidRPr="0048672C">
        <w:rPr>
          <w:rFonts w:hint="cs"/>
          <w:b w:val="0"/>
          <w:bCs w:val="0"/>
          <w:rtl/>
        </w:rPr>
        <w:t xml:space="preserve">المقترح </w:t>
      </w:r>
      <w:r w:rsidR="0055425A" w:rsidRPr="0048672C">
        <w:rPr>
          <w:rFonts w:hint="cs"/>
          <w:b w:val="0"/>
          <w:bCs w:val="0"/>
          <w:rtl/>
        </w:rPr>
        <w:t xml:space="preserve">من </w:t>
      </w:r>
      <w:r w:rsidR="000A68A3" w:rsidRPr="0048672C">
        <w:rPr>
          <w:rFonts w:hint="cs"/>
          <w:b w:val="0"/>
          <w:bCs w:val="0"/>
          <w:rtl/>
        </w:rPr>
        <w:t xml:space="preserve">لجنة البلدان الأمريكية للاتصالات بشأن أهمية </w:t>
      </w:r>
      <w:r w:rsidR="00E54144" w:rsidRPr="0048672C">
        <w:rPr>
          <w:rFonts w:hint="cs"/>
          <w:b w:val="0"/>
          <w:bCs w:val="0"/>
          <w:rtl/>
        </w:rPr>
        <w:t xml:space="preserve">مشاركة </w:t>
      </w:r>
      <w:r w:rsidR="000A68A3" w:rsidRPr="0048672C">
        <w:rPr>
          <w:rFonts w:hint="cs"/>
          <w:b w:val="0"/>
          <w:bCs w:val="0"/>
          <w:rtl/>
        </w:rPr>
        <w:t>الصناعة في</w:t>
      </w:r>
      <w:r w:rsidR="0048672C">
        <w:rPr>
          <w:rFonts w:hint="eastAsia"/>
          <w:b w:val="0"/>
          <w:bCs w:val="0"/>
          <w:rtl/>
        </w:rPr>
        <w:t> </w:t>
      </w:r>
      <w:r w:rsidR="00E54144" w:rsidRPr="0048672C">
        <w:rPr>
          <w:rFonts w:hint="cs"/>
          <w:b w:val="0"/>
          <w:bCs w:val="0"/>
          <w:rtl/>
        </w:rPr>
        <w:t>أ</w:t>
      </w:r>
      <w:r w:rsidR="000A68A3" w:rsidRPr="0048672C">
        <w:rPr>
          <w:rFonts w:hint="cs"/>
          <w:b w:val="0"/>
          <w:bCs w:val="0"/>
          <w:rtl/>
        </w:rPr>
        <w:t xml:space="preserve">عمال قطاع تقييس </w:t>
      </w:r>
      <w:r w:rsidR="008B02FC" w:rsidRPr="0048672C">
        <w:rPr>
          <w:rFonts w:hint="cs"/>
          <w:b w:val="0"/>
          <w:bCs w:val="0"/>
          <w:rtl/>
        </w:rPr>
        <w:t>الاتصالات في</w:t>
      </w:r>
      <w:r w:rsidR="004E2E77" w:rsidRPr="0048672C">
        <w:rPr>
          <w:rFonts w:hint="cs"/>
          <w:b w:val="0"/>
          <w:bCs w:val="0"/>
          <w:rtl/>
        </w:rPr>
        <w:t xml:space="preserve"> الإضافة 17 للوثيقة 39. </w:t>
      </w:r>
      <w:r w:rsidR="000A68A3" w:rsidRPr="0048672C">
        <w:rPr>
          <w:rFonts w:hint="cs"/>
          <w:b w:val="0"/>
          <w:bCs w:val="0"/>
          <w:rtl/>
        </w:rPr>
        <w:t xml:space="preserve">والسبب الرئيسي في ذلك هو أن نص القرار 68 </w:t>
      </w:r>
      <w:r w:rsidR="004E2E77" w:rsidRPr="0048672C">
        <w:rPr>
          <w:rFonts w:hint="cs"/>
          <w:b w:val="0"/>
          <w:bCs w:val="0"/>
          <w:rtl/>
        </w:rPr>
        <w:t>يعبر</w:t>
      </w:r>
      <w:r w:rsidR="000A68A3" w:rsidRPr="0048672C">
        <w:rPr>
          <w:rFonts w:hint="cs"/>
          <w:b w:val="0"/>
          <w:bCs w:val="0"/>
          <w:rtl/>
        </w:rPr>
        <w:t xml:space="preserve"> جزئيا</w:t>
      </w:r>
      <w:r w:rsidR="00E54144" w:rsidRPr="0048672C">
        <w:rPr>
          <w:rFonts w:hint="cs"/>
          <w:b w:val="0"/>
          <w:bCs w:val="0"/>
          <w:rtl/>
        </w:rPr>
        <w:t>ً</w:t>
      </w:r>
      <w:r w:rsidR="000A68A3" w:rsidRPr="0048672C">
        <w:rPr>
          <w:rFonts w:hint="cs"/>
          <w:b w:val="0"/>
          <w:bCs w:val="0"/>
          <w:rtl/>
        </w:rPr>
        <w:t xml:space="preserve"> </w:t>
      </w:r>
      <w:r w:rsidR="004E2E77" w:rsidRPr="0048672C">
        <w:rPr>
          <w:rFonts w:hint="cs"/>
          <w:b w:val="0"/>
          <w:bCs w:val="0"/>
          <w:rtl/>
        </w:rPr>
        <w:t xml:space="preserve">عن </w:t>
      </w:r>
      <w:r w:rsidR="000A68A3" w:rsidRPr="0048672C">
        <w:rPr>
          <w:rFonts w:hint="cs"/>
          <w:b w:val="0"/>
          <w:bCs w:val="0"/>
          <w:rtl/>
        </w:rPr>
        <w:t>نت</w:t>
      </w:r>
      <w:r w:rsidR="0055425A" w:rsidRPr="0048672C">
        <w:rPr>
          <w:rFonts w:hint="cs"/>
          <w:b w:val="0"/>
          <w:bCs w:val="0"/>
          <w:rtl/>
        </w:rPr>
        <w:t>ي</w:t>
      </w:r>
      <w:r w:rsidR="000A68A3" w:rsidRPr="0048672C">
        <w:rPr>
          <w:rFonts w:hint="cs"/>
          <w:b w:val="0"/>
          <w:bCs w:val="0"/>
          <w:rtl/>
        </w:rPr>
        <w:t xml:space="preserve">جة المناقشات التي أجريت في الجمعية العالمية لتقييس الاتصالات </w:t>
      </w:r>
      <w:r w:rsidR="00E54144" w:rsidRPr="0048672C">
        <w:rPr>
          <w:rFonts w:hint="cs"/>
          <w:b w:val="0"/>
          <w:bCs w:val="0"/>
          <w:rtl/>
        </w:rPr>
        <w:t>لعام 2008</w:t>
      </w:r>
      <w:r w:rsidR="000A68A3" w:rsidRPr="0048672C">
        <w:rPr>
          <w:rFonts w:hint="cs"/>
          <w:b w:val="0"/>
          <w:bCs w:val="0"/>
          <w:rtl/>
        </w:rPr>
        <w:t xml:space="preserve"> بشأن أهمية تنظيم اجتماعات </w:t>
      </w:r>
      <w:r w:rsidR="0055425A" w:rsidRPr="0048672C">
        <w:rPr>
          <w:rFonts w:hint="cs"/>
          <w:b w:val="0"/>
          <w:bCs w:val="0"/>
          <w:rtl/>
          <w:lang w:val="fr-CA"/>
        </w:rPr>
        <w:t xml:space="preserve">منتظمة لكبار مسؤولي </w:t>
      </w:r>
      <w:r w:rsidR="000E32F1" w:rsidRPr="0048672C">
        <w:rPr>
          <w:rFonts w:hint="cs"/>
          <w:b w:val="0"/>
          <w:bCs w:val="0"/>
          <w:rtl/>
          <w:lang w:val="fr-CA"/>
        </w:rPr>
        <w:t>التكنولوجيا مع</w:t>
      </w:r>
      <w:r w:rsidR="0055425A" w:rsidRPr="0048672C">
        <w:rPr>
          <w:rFonts w:hint="cs"/>
          <w:b w:val="0"/>
          <w:bCs w:val="0"/>
          <w:rtl/>
          <w:lang w:val="fr-CA"/>
        </w:rPr>
        <w:t xml:space="preserve"> </w:t>
      </w:r>
      <w:r w:rsidR="0055425A" w:rsidRPr="0048672C">
        <w:rPr>
          <w:rFonts w:hint="cs"/>
          <w:b w:val="0"/>
          <w:bCs w:val="0"/>
          <w:rtl/>
        </w:rPr>
        <w:t xml:space="preserve">كبار موظفي مكتب تقييس الاتصالات ومن بينهم المدير. </w:t>
      </w:r>
      <w:r w:rsidR="004E2E77" w:rsidRPr="0048672C">
        <w:rPr>
          <w:rFonts w:hint="cs"/>
          <w:b w:val="0"/>
          <w:bCs w:val="0"/>
          <w:rtl/>
        </w:rPr>
        <w:t>ويعبر</w:t>
      </w:r>
      <w:r w:rsidR="0055425A" w:rsidRPr="0048672C">
        <w:rPr>
          <w:rFonts w:hint="cs"/>
          <w:b w:val="0"/>
          <w:bCs w:val="0"/>
          <w:rtl/>
        </w:rPr>
        <w:t xml:space="preserve"> </w:t>
      </w:r>
      <w:r w:rsidR="00773194">
        <w:rPr>
          <w:rFonts w:hint="cs"/>
          <w:b w:val="0"/>
          <w:bCs w:val="0"/>
          <w:rtl/>
        </w:rPr>
        <w:t>أيضاً</w:t>
      </w:r>
      <w:r w:rsidR="00191DFE" w:rsidRPr="0048672C">
        <w:rPr>
          <w:rFonts w:hint="cs"/>
          <w:b w:val="0"/>
          <w:bCs w:val="0"/>
          <w:rtl/>
        </w:rPr>
        <w:t xml:space="preserve"> عن</w:t>
      </w:r>
      <w:r w:rsidR="004E2E77" w:rsidRPr="0048672C">
        <w:rPr>
          <w:rFonts w:hint="cs"/>
          <w:b w:val="0"/>
          <w:bCs w:val="0"/>
          <w:rtl/>
        </w:rPr>
        <w:t xml:space="preserve"> </w:t>
      </w:r>
      <w:r w:rsidR="0055425A" w:rsidRPr="0048672C">
        <w:rPr>
          <w:rFonts w:hint="cs"/>
          <w:b w:val="0"/>
          <w:bCs w:val="0"/>
          <w:rtl/>
        </w:rPr>
        <w:t xml:space="preserve">المناقشات التي </w:t>
      </w:r>
      <w:r w:rsidR="00CA5382">
        <w:rPr>
          <w:rFonts w:hint="cs"/>
          <w:b w:val="0"/>
          <w:bCs w:val="0"/>
          <w:rtl/>
        </w:rPr>
        <w:t>أُجريت</w:t>
      </w:r>
      <w:r w:rsidR="0055425A" w:rsidRPr="0048672C">
        <w:rPr>
          <w:rFonts w:hint="cs"/>
          <w:b w:val="0"/>
          <w:bCs w:val="0"/>
          <w:rtl/>
        </w:rPr>
        <w:t xml:space="preserve"> في</w:t>
      </w:r>
      <w:r w:rsidR="0048672C">
        <w:rPr>
          <w:rFonts w:hint="eastAsia"/>
          <w:b w:val="0"/>
          <w:bCs w:val="0"/>
          <w:rtl/>
        </w:rPr>
        <w:t> </w:t>
      </w:r>
      <w:r w:rsidR="008620B1" w:rsidRPr="0048672C">
        <w:rPr>
          <w:rFonts w:hint="cs"/>
          <w:b w:val="0"/>
          <w:bCs w:val="0"/>
          <w:rtl/>
        </w:rPr>
        <w:t>المنتدى</w:t>
      </w:r>
      <w:r w:rsidR="0055425A" w:rsidRPr="0048672C">
        <w:rPr>
          <w:rFonts w:hint="cs"/>
          <w:b w:val="0"/>
          <w:bCs w:val="0"/>
          <w:rtl/>
        </w:rPr>
        <w:t xml:space="preserve"> العالمي </w:t>
      </w:r>
      <w:r w:rsidR="008620B1" w:rsidRPr="0048672C">
        <w:rPr>
          <w:rFonts w:hint="cs"/>
          <w:b w:val="0"/>
          <w:bCs w:val="0"/>
          <w:rtl/>
        </w:rPr>
        <w:t>للتقييس</w:t>
      </w:r>
      <w:r w:rsidR="00215032">
        <w:rPr>
          <w:rFonts w:hint="cs"/>
          <w:b w:val="0"/>
          <w:bCs w:val="0"/>
          <w:rtl/>
        </w:rPr>
        <w:t xml:space="preserve"> </w:t>
      </w:r>
      <w:r w:rsidR="008620B1" w:rsidRPr="0048672C">
        <w:rPr>
          <w:rFonts w:hint="cs"/>
          <w:b w:val="0"/>
          <w:bCs w:val="0"/>
          <w:rtl/>
        </w:rPr>
        <w:t xml:space="preserve">في 2012 </w:t>
      </w:r>
      <w:r w:rsidR="004E2E77" w:rsidRPr="0048672C">
        <w:rPr>
          <w:rFonts w:hint="cs"/>
          <w:b w:val="0"/>
          <w:bCs w:val="0"/>
          <w:rtl/>
        </w:rPr>
        <w:t xml:space="preserve">والتي </w:t>
      </w:r>
      <w:r w:rsidR="004E2E77" w:rsidRPr="0048672C">
        <w:rPr>
          <w:rFonts w:hint="eastAsia"/>
          <w:b w:val="0"/>
          <w:bCs w:val="0"/>
          <w:rtl/>
        </w:rPr>
        <w:t>أدت</w:t>
      </w:r>
      <w:r w:rsidR="008620B1" w:rsidRPr="0048672C">
        <w:rPr>
          <w:rFonts w:hint="cs"/>
          <w:b w:val="0"/>
          <w:bCs w:val="0"/>
          <w:rtl/>
        </w:rPr>
        <w:t xml:space="preserve"> إلى تنقيح القرار 68 </w:t>
      </w:r>
      <w:r w:rsidR="00A10236" w:rsidRPr="0048672C">
        <w:rPr>
          <w:rFonts w:hint="cs"/>
          <w:b w:val="0"/>
          <w:bCs w:val="0"/>
          <w:rtl/>
        </w:rPr>
        <w:t>فيما يتعلق ب</w:t>
      </w:r>
      <w:r w:rsidR="00132B1E" w:rsidRPr="0048672C">
        <w:rPr>
          <w:rFonts w:hint="cs"/>
          <w:b w:val="0"/>
          <w:bCs w:val="0"/>
          <w:rtl/>
        </w:rPr>
        <w:t xml:space="preserve">خبرة </w:t>
      </w:r>
      <w:r w:rsidR="00840DF4" w:rsidRPr="0048672C">
        <w:rPr>
          <w:rFonts w:hint="cs"/>
          <w:b w:val="0"/>
          <w:bCs w:val="0"/>
          <w:rtl/>
        </w:rPr>
        <w:t xml:space="preserve">كبار مسؤولي التكنولوجيا والالتزام بعقد اجتماعات </w:t>
      </w:r>
      <w:r w:rsidR="00840DF4" w:rsidRPr="0048672C">
        <w:rPr>
          <w:rFonts w:hint="cs"/>
          <w:b w:val="0"/>
          <w:bCs w:val="0"/>
          <w:rtl/>
          <w:lang w:val="fr-CA"/>
        </w:rPr>
        <w:t xml:space="preserve">مرة واحدة على الأقل كل عام </w:t>
      </w:r>
      <w:r w:rsidR="00A10236" w:rsidRPr="0048672C">
        <w:rPr>
          <w:rFonts w:hint="cs"/>
          <w:b w:val="0"/>
          <w:bCs w:val="0"/>
          <w:rtl/>
          <w:lang w:val="fr-CA"/>
        </w:rPr>
        <w:t>وتوسيع نطاقها</w:t>
      </w:r>
      <w:r w:rsidR="00840DF4" w:rsidRPr="0048672C">
        <w:rPr>
          <w:rFonts w:hint="cs"/>
          <w:b w:val="0"/>
          <w:bCs w:val="0"/>
          <w:rtl/>
          <w:lang w:val="fr-CA"/>
        </w:rPr>
        <w:t xml:space="preserve"> لتشمل الاجتماعات</w:t>
      </w:r>
      <w:r w:rsidR="00A10236" w:rsidRPr="0048672C">
        <w:rPr>
          <w:rFonts w:hint="cs"/>
          <w:b w:val="0"/>
          <w:bCs w:val="0"/>
          <w:rtl/>
          <w:lang w:val="fr-CA"/>
        </w:rPr>
        <w:t xml:space="preserve"> ا</w:t>
      </w:r>
      <w:r w:rsidR="00A10236" w:rsidRPr="0048672C">
        <w:rPr>
          <w:rFonts w:hint="eastAsia"/>
          <w:b w:val="0"/>
          <w:bCs w:val="0"/>
          <w:rtl/>
          <w:lang w:val="fr-CA"/>
        </w:rPr>
        <w:t>لإق</w:t>
      </w:r>
      <w:r w:rsidR="00A10236" w:rsidRPr="0048672C">
        <w:rPr>
          <w:rFonts w:hint="cs"/>
          <w:b w:val="0"/>
          <w:bCs w:val="0"/>
          <w:rtl/>
          <w:lang w:val="fr-CA"/>
        </w:rPr>
        <w:t xml:space="preserve">ليمية </w:t>
      </w:r>
      <w:r w:rsidR="00840DF4" w:rsidRPr="0048672C">
        <w:rPr>
          <w:rFonts w:hint="cs"/>
          <w:b w:val="0"/>
          <w:bCs w:val="0"/>
          <w:rtl/>
          <w:lang w:val="fr-CA"/>
        </w:rPr>
        <w:t>للرؤساء التنفيذيين.</w:t>
      </w:r>
      <w:r w:rsidR="008620B1" w:rsidRPr="0048672C">
        <w:rPr>
          <w:rFonts w:hint="cs"/>
          <w:b w:val="0"/>
          <w:bCs w:val="0"/>
          <w:rtl/>
        </w:rPr>
        <w:t xml:space="preserve"> </w:t>
      </w:r>
    </w:p>
    <w:p w14:paraId="19920400" w14:textId="216A26F4" w:rsidR="00840DF4" w:rsidRPr="005A7783" w:rsidRDefault="00840DF4" w:rsidP="005B6233">
      <w:pPr>
        <w:rPr>
          <w:rtl/>
        </w:rPr>
      </w:pPr>
      <w:r w:rsidRPr="0048672C">
        <w:rPr>
          <w:rFonts w:hint="cs"/>
          <w:rtl/>
        </w:rPr>
        <w:t xml:space="preserve">وترد </w:t>
      </w:r>
      <w:r w:rsidR="00F277D6" w:rsidRPr="0048672C">
        <w:rPr>
          <w:rFonts w:hint="cs"/>
          <w:rtl/>
        </w:rPr>
        <w:t xml:space="preserve">الإشارات </w:t>
      </w:r>
      <w:r w:rsidRPr="0048672C">
        <w:rPr>
          <w:rFonts w:hint="cs"/>
          <w:rtl/>
        </w:rPr>
        <w:t>المذكورة أعلاه في القرار الجديد المقترح كما هو مبين في مقترح البلدان الأمريكية</w:t>
      </w:r>
      <w:r w:rsidR="003D3F50" w:rsidRPr="0048672C">
        <w:rPr>
          <w:rFonts w:hint="cs"/>
          <w:rtl/>
        </w:rPr>
        <w:t xml:space="preserve"> في الإضافة 17 للوثيقة 39. والمسألة الثانية التي نوقشت في المنتدى العالمي للتقييس في 2012 هي كيف </w:t>
      </w:r>
      <w:r w:rsidR="000E32F1" w:rsidRPr="0048672C">
        <w:rPr>
          <w:rFonts w:hint="cs"/>
          <w:rtl/>
        </w:rPr>
        <w:t>يمكن</w:t>
      </w:r>
      <w:r w:rsidR="003D3F50" w:rsidRPr="0048672C">
        <w:rPr>
          <w:rFonts w:hint="cs"/>
          <w:rtl/>
        </w:rPr>
        <w:t xml:space="preserve"> </w:t>
      </w:r>
      <w:r w:rsidR="000E32F1" w:rsidRPr="0048672C">
        <w:rPr>
          <w:rFonts w:hint="cs"/>
          <w:rtl/>
        </w:rPr>
        <w:t>ل</w:t>
      </w:r>
      <w:r w:rsidR="003D3F50" w:rsidRPr="0048672C">
        <w:rPr>
          <w:rFonts w:hint="cs"/>
          <w:rtl/>
        </w:rPr>
        <w:t xml:space="preserve">لبلدان النامية أن </w:t>
      </w:r>
      <w:r w:rsidR="000E32F1" w:rsidRPr="0048672C">
        <w:rPr>
          <w:rFonts w:hint="cs"/>
          <w:rtl/>
        </w:rPr>
        <w:t>تحسن</w:t>
      </w:r>
      <w:r w:rsidR="003D3F50" w:rsidRPr="0048672C">
        <w:rPr>
          <w:rFonts w:hint="cs"/>
          <w:rtl/>
        </w:rPr>
        <w:t xml:space="preserve"> من مشاركته</w:t>
      </w:r>
      <w:r w:rsidR="000E32F1" w:rsidRPr="0048672C">
        <w:rPr>
          <w:rFonts w:hint="cs"/>
          <w:rtl/>
        </w:rPr>
        <w:t>ا</w:t>
      </w:r>
      <w:r w:rsidR="003D3F50" w:rsidRPr="0048672C">
        <w:rPr>
          <w:rFonts w:hint="cs"/>
          <w:rtl/>
        </w:rPr>
        <w:t xml:space="preserve"> في أنشطة قطاع تقييس الاتصالات</w:t>
      </w:r>
      <w:r w:rsidR="002C3210" w:rsidRPr="0048672C">
        <w:rPr>
          <w:rFonts w:hint="cs"/>
          <w:rtl/>
        </w:rPr>
        <w:t xml:space="preserve"> في </w:t>
      </w:r>
      <w:r w:rsidR="00A10236" w:rsidRPr="0048672C">
        <w:rPr>
          <w:rFonts w:hint="eastAsia"/>
          <w:rtl/>
        </w:rPr>
        <w:t>سياق</w:t>
      </w:r>
      <w:r w:rsidR="00A10236" w:rsidRPr="0048672C">
        <w:rPr>
          <w:rFonts w:hint="cs"/>
          <w:rtl/>
        </w:rPr>
        <w:t xml:space="preserve"> </w:t>
      </w:r>
      <w:r w:rsidR="002C3210" w:rsidRPr="0048672C">
        <w:rPr>
          <w:rFonts w:hint="cs"/>
          <w:rtl/>
        </w:rPr>
        <w:t xml:space="preserve">سد </w:t>
      </w:r>
      <w:r w:rsidR="009A4C9E">
        <w:rPr>
          <w:rFonts w:hint="cs"/>
          <w:rtl/>
        </w:rPr>
        <w:t>الفجوة التقييسية</w:t>
      </w:r>
      <w:r w:rsidR="003D3F50" w:rsidRPr="0048672C">
        <w:rPr>
          <w:rFonts w:hint="cs"/>
          <w:rtl/>
        </w:rPr>
        <w:t xml:space="preserve">. </w:t>
      </w:r>
      <w:r w:rsidR="00F277D6" w:rsidRPr="0048672C">
        <w:rPr>
          <w:rFonts w:hint="cs"/>
          <w:rtl/>
        </w:rPr>
        <w:t>والإشارة إ</w:t>
      </w:r>
      <w:r w:rsidR="00CC7F97" w:rsidRPr="0048672C">
        <w:rPr>
          <w:rFonts w:hint="cs"/>
          <w:rtl/>
        </w:rPr>
        <w:t>ل</w:t>
      </w:r>
      <w:r w:rsidR="00F277D6" w:rsidRPr="0048672C">
        <w:rPr>
          <w:rFonts w:hint="cs"/>
          <w:rtl/>
        </w:rPr>
        <w:t xml:space="preserve">ى </w:t>
      </w:r>
      <w:r w:rsidR="00CC7F97" w:rsidRPr="0048672C">
        <w:rPr>
          <w:rFonts w:hint="cs"/>
          <w:rtl/>
        </w:rPr>
        <w:t>هذه الجهود في القرار 68 حلت محلها</w:t>
      </w:r>
      <w:r w:rsidR="00CC7F97" w:rsidRPr="005A7783">
        <w:rPr>
          <w:rFonts w:hint="cs"/>
          <w:rtl/>
        </w:rPr>
        <w:t xml:space="preserve"> </w:t>
      </w:r>
      <w:r w:rsidR="00CC7F97" w:rsidRPr="0048672C">
        <w:rPr>
          <w:rFonts w:hint="cs"/>
          <w:rtl/>
        </w:rPr>
        <w:t xml:space="preserve">الآن </w:t>
      </w:r>
      <w:r w:rsidR="000E32F1" w:rsidRPr="005A7783">
        <w:rPr>
          <w:rFonts w:hint="cs"/>
          <w:rtl/>
        </w:rPr>
        <w:t>الإجراءات المبينة</w:t>
      </w:r>
      <w:r w:rsidR="00A10236" w:rsidRPr="005A7783">
        <w:rPr>
          <w:rFonts w:hint="cs"/>
          <w:rtl/>
        </w:rPr>
        <w:t xml:space="preserve"> في </w:t>
      </w:r>
      <w:r w:rsidR="000E32F1" w:rsidRPr="005A7783">
        <w:rPr>
          <w:rFonts w:hint="cs"/>
          <w:rtl/>
        </w:rPr>
        <w:t>القرار 44 (المراجع في الحمّامات، 2016)</w:t>
      </w:r>
      <w:r w:rsidR="002C3210" w:rsidRPr="005A7783">
        <w:rPr>
          <w:rFonts w:hint="cs"/>
          <w:rtl/>
        </w:rPr>
        <w:t xml:space="preserve"> وقرارات أخرى ذات صلة،</w:t>
      </w:r>
      <w:r w:rsidR="000E32F1" w:rsidRPr="005A7783">
        <w:rPr>
          <w:rFonts w:hint="cs"/>
          <w:rtl/>
        </w:rPr>
        <w:t xml:space="preserve"> بشأن </w:t>
      </w:r>
      <w:r w:rsidR="00706DC3" w:rsidRPr="005A7783">
        <w:rPr>
          <w:rFonts w:hint="cs"/>
          <w:rtl/>
        </w:rPr>
        <w:t xml:space="preserve">سد </w:t>
      </w:r>
      <w:r w:rsidR="00E61A08" w:rsidRPr="005A7783">
        <w:rPr>
          <w:rFonts w:hint="cs"/>
          <w:rtl/>
        </w:rPr>
        <w:t>الفجوة التقييسية</w:t>
      </w:r>
      <w:r w:rsidR="00065137" w:rsidRPr="005A7783">
        <w:rPr>
          <w:rFonts w:hint="cs"/>
          <w:rtl/>
        </w:rPr>
        <w:t xml:space="preserve"> بين البلدان النامية والبلدان </w:t>
      </w:r>
      <w:r w:rsidR="008B02FC" w:rsidRPr="005A7783">
        <w:rPr>
          <w:rFonts w:hint="cs"/>
          <w:rtl/>
        </w:rPr>
        <w:t>المتقدمة</w:t>
      </w:r>
      <w:r w:rsidR="00CC7F97" w:rsidRPr="005A7783">
        <w:rPr>
          <w:rFonts w:hint="cs"/>
          <w:rtl/>
        </w:rPr>
        <w:t>.</w:t>
      </w:r>
    </w:p>
    <w:p w14:paraId="4AF9A12A" w14:textId="0F7E96E9" w:rsidR="00E87AF1" w:rsidRPr="00E87AF1" w:rsidRDefault="00E87AF1" w:rsidP="00E87AF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</w:t>
      </w:r>
      <w:r w:rsidR="00AC7AD8">
        <w:rPr>
          <w:rFonts w:hint="cs"/>
          <w:rtl/>
          <w:lang w:bidi="ar-EG"/>
        </w:rPr>
        <w:t>ــــــــــــ</w:t>
      </w:r>
      <w:r>
        <w:rPr>
          <w:rFonts w:hint="cs"/>
          <w:rtl/>
          <w:lang w:bidi="ar-EG"/>
        </w:rPr>
        <w:t>ــــــــــــــــــــــــــــــــــــ</w:t>
      </w:r>
    </w:p>
    <w:sectPr w:rsidR="00E87AF1" w:rsidRPr="00E87AF1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5381" w14:textId="77777777" w:rsidR="00DD185E" w:rsidRDefault="00DD185E" w:rsidP="002919E1">
      <w:r>
        <w:separator/>
      </w:r>
    </w:p>
    <w:p w14:paraId="46B31F9B" w14:textId="77777777" w:rsidR="00DD185E" w:rsidRDefault="00DD185E" w:rsidP="002919E1"/>
    <w:p w14:paraId="60D0496F" w14:textId="77777777" w:rsidR="00DD185E" w:rsidRDefault="00DD185E" w:rsidP="002919E1"/>
    <w:p w14:paraId="319E1625" w14:textId="77777777" w:rsidR="00DD185E" w:rsidRDefault="00DD185E"/>
  </w:endnote>
  <w:endnote w:type="continuationSeparator" w:id="0">
    <w:p w14:paraId="3F194A3D" w14:textId="77777777" w:rsidR="00DD185E" w:rsidRDefault="00DD185E" w:rsidP="002919E1">
      <w:r>
        <w:continuationSeparator/>
      </w:r>
    </w:p>
    <w:p w14:paraId="4841CA32" w14:textId="77777777" w:rsidR="00DD185E" w:rsidRDefault="00DD185E" w:rsidP="002919E1"/>
    <w:p w14:paraId="1EF6B74F" w14:textId="77777777" w:rsidR="00DD185E" w:rsidRDefault="00DD185E" w:rsidP="002919E1"/>
    <w:p w14:paraId="79E30EB0" w14:textId="77777777" w:rsidR="00DD185E" w:rsidRDefault="00DD1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DDD4" w14:textId="62470A8B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B55EC">
      <w:rPr>
        <w:noProof/>
        <w:sz w:val="16"/>
        <w:szCs w:val="16"/>
        <w:lang w:val="fr-FR"/>
      </w:rPr>
      <w:t>P:\ARA\ITU-T\CONF-T\WTSA20\000\039ADD22A.docx</w:t>
    </w:r>
    <w:r w:rsidRPr="00FC7FD8">
      <w:rPr>
        <w:sz w:val="16"/>
        <w:szCs w:val="16"/>
      </w:rPr>
      <w:fldChar w:fldCharType="end"/>
    </w:r>
    <w:proofErr w:type="gramStart"/>
    <w:r w:rsidRPr="00E87AF1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E87AF1">
      <w:rPr>
        <w:sz w:val="16"/>
        <w:szCs w:val="16"/>
        <w:lang w:val="fr-FR"/>
      </w:rPr>
      <w:t>493255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D0BE" w14:textId="77777777" w:rsidR="00DD185E" w:rsidRDefault="00DD185E" w:rsidP="002919E1">
      <w:r>
        <w:t>___________________</w:t>
      </w:r>
    </w:p>
  </w:footnote>
  <w:footnote w:type="continuationSeparator" w:id="0">
    <w:p w14:paraId="45BC0F13" w14:textId="77777777" w:rsidR="00DD185E" w:rsidRDefault="00DD185E" w:rsidP="002919E1">
      <w:r>
        <w:continuationSeparator/>
      </w:r>
    </w:p>
    <w:p w14:paraId="5A9B1EC6" w14:textId="77777777" w:rsidR="00DD185E" w:rsidRDefault="00DD185E" w:rsidP="002919E1"/>
    <w:p w14:paraId="0BF867BA" w14:textId="77777777" w:rsidR="00DD185E" w:rsidRDefault="00DD185E" w:rsidP="002919E1"/>
    <w:p w14:paraId="53AFFD39" w14:textId="77777777" w:rsidR="00DD185E" w:rsidRDefault="00DD1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5024" w14:textId="77777777" w:rsidR="00281F5F" w:rsidRDefault="00281F5F" w:rsidP="002919E1"/>
  <w:p w14:paraId="07385D15" w14:textId="77777777" w:rsidR="00281F5F" w:rsidRDefault="00281F5F" w:rsidP="002919E1"/>
  <w:p w14:paraId="1857A69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9483" w14:textId="31936318" w:rsidR="00281F5F" w:rsidRPr="0088384B" w:rsidRDefault="00281F5F" w:rsidP="00E87AF1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91DFE">
      <w:rPr>
        <w:rStyle w:val="PageNumber"/>
        <w:noProof/>
        <w:rtl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87AF1">
      <w:rPr>
        <w:rStyle w:val="PageNumber"/>
        <w:rFonts w:hint="cs"/>
        <w:rtl/>
        <w:lang w:bidi="ar-EG"/>
      </w:rPr>
      <w:t xml:space="preserve">الإضافة </w:t>
    </w:r>
    <w:r w:rsidR="00E87AF1">
      <w:rPr>
        <w:rStyle w:val="PageNumber"/>
        <w:lang w:bidi="ar-EG"/>
      </w:rPr>
      <w:t>22</w:t>
    </w:r>
    <w:r w:rsidR="00E87AF1">
      <w:rPr>
        <w:rStyle w:val="PageNumber"/>
        <w:rtl/>
        <w:lang w:bidi="ar-EG"/>
      </w:rPr>
      <w:br/>
    </w:r>
    <w:r w:rsidR="00E87AF1">
      <w:rPr>
        <w:rStyle w:val="PageNumber"/>
        <w:rFonts w:hint="cs"/>
        <w:rtl/>
        <w:lang w:bidi="ar-EG"/>
      </w:rPr>
      <w:t xml:space="preserve">للوثيقة </w:t>
    </w:r>
    <w:r w:rsidR="00E87AF1">
      <w:rPr>
        <w:rStyle w:val="PageNumber"/>
      </w:rPr>
      <w:t>39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3401B"/>
    <w:rsid w:val="00034B65"/>
    <w:rsid w:val="00040C94"/>
    <w:rsid w:val="000425FC"/>
    <w:rsid w:val="00044D43"/>
    <w:rsid w:val="00051907"/>
    <w:rsid w:val="00065137"/>
    <w:rsid w:val="00075A3F"/>
    <w:rsid w:val="000A1B16"/>
    <w:rsid w:val="000A68A3"/>
    <w:rsid w:val="000B3896"/>
    <w:rsid w:val="000B5404"/>
    <w:rsid w:val="000D1708"/>
    <w:rsid w:val="000E2AFC"/>
    <w:rsid w:val="000E32F1"/>
    <w:rsid w:val="000E6D30"/>
    <w:rsid w:val="000F05F5"/>
    <w:rsid w:val="000F518F"/>
    <w:rsid w:val="0010081C"/>
    <w:rsid w:val="001013E3"/>
    <w:rsid w:val="0010363F"/>
    <w:rsid w:val="00123AA6"/>
    <w:rsid w:val="0012545F"/>
    <w:rsid w:val="00132B1E"/>
    <w:rsid w:val="00136B82"/>
    <w:rsid w:val="001464F2"/>
    <w:rsid w:val="00167364"/>
    <w:rsid w:val="001903B2"/>
    <w:rsid w:val="00191DFE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5032"/>
    <w:rsid w:val="00222014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29F"/>
    <w:rsid w:val="002843E4"/>
    <w:rsid w:val="002919E1"/>
    <w:rsid w:val="00295917"/>
    <w:rsid w:val="00296071"/>
    <w:rsid w:val="002A4572"/>
    <w:rsid w:val="002A7E2E"/>
    <w:rsid w:val="002B12C5"/>
    <w:rsid w:val="002B16D8"/>
    <w:rsid w:val="002C3210"/>
    <w:rsid w:val="002D158A"/>
    <w:rsid w:val="002D5369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D3F50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72C"/>
    <w:rsid w:val="00486B2B"/>
    <w:rsid w:val="004909DD"/>
    <w:rsid w:val="004A05E6"/>
    <w:rsid w:val="004A6230"/>
    <w:rsid w:val="004A6C66"/>
    <w:rsid w:val="004A7AA0"/>
    <w:rsid w:val="004C11BC"/>
    <w:rsid w:val="004C4818"/>
    <w:rsid w:val="004C5C04"/>
    <w:rsid w:val="004D0448"/>
    <w:rsid w:val="004D4AE6"/>
    <w:rsid w:val="004E2A5D"/>
    <w:rsid w:val="004E2E77"/>
    <w:rsid w:val="00505FCA"/>
    <w:rsid w:val="00510C2D"/>
    <w:rsid w:val="005166A4"/>
    <w:rsid w:val="005169F4"/>
    <w:rsid w:val="005210D1"/>
    <w:rsid w:val="00523146"/>
    <w:rsid w:val="00523275"/>
    <w:rsid w:val="00523D37"/>
    <w:rsid w:val="00530036"/>
    <w:rsid w:val="00531DC7"/>
    <w:rsid w:val="005350B0"/>
    <w:rsid w:val="005431B5"/>
    <w:rsid w:val="00546A99"/>
    <w:rsid w:val="00553411"/>
    <w:rsid w:val="0055425A"/>
    <w:rsid w:val="00554AE7"/>
    <w:rsid w:val="00564746"/>
    <w:rsid w:val="0056512C"/>
    <w:rsid w:val="005676C6"/>
    <w:rsid w:val="00571166"/>
    <w:rsid w:val="005730DF"/>
    <w:rsid w:val="00576D0A"/>
    <w:rsid w:val="00576FCC"/>
    <w:rsid w:val="00584333"/>
    <w:rsid w:val="00586B66"/>
    <w:rsid w:val="005953EC"/>
    <w:rsid w:val="005A7783"/>
    <w:rsid w:val="005B00A1"/>
    <w:rsid w:val="005B6233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075E"/>
    <w:rsid w:val="006E38D0"/>
    <w:rsid w:val="006E465B"/>
    <w:rsid w:val="006E6708"/>
    <w:rsid w:val="006F70BF"/>
    <w:rsid w:val="00706473"/>
    <w:rsid w:val="00706DC3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194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2F3A"/>
    <w:rsid w:val="00810482"/>
    <w:rsid w:val="00817568"/>
    <w:rsid w:val="008204AC"/>
    <w:rsid w:val="008261C2"/>
    <w:rsid w:val="00830D96"/>
    <w:rsid w:val="00840DF4"/>
    <w:rsid w:val="0085569D"/>
    <w:rsid w:val="00855B59"/>
    <w:rsid w:val="0085774F"/>
    <w:rsid w:val="008614B8"/>
    <w:rsid w:val="008620B1"/>
    <w:rsid w:val="00863FEF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02FC"/>
    <w:rsid w:val="008B3D6F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62CB5"/>
    <w:rsid w:val="00972CE0"/>
    <w:rsid w:val="009A3D30"/>
    <w:rsid w:val="009A4C9E"/>
    <w:rsid w:val="009B55EC"/>
    <w:rsid w:val="009C13BE"/>
    <w:rsid w:val="009D6348"/>
    <w:rsid w:val="009E5007"/>
    <w:rsid w:val="009E613F"/>
    <w:rsid w:val="009F042B"/>
    <w:rsid w:val="00A03FD6"/>
    <w:rsid w:val="00A04CF4"/>
    <w:rsid w:val="00A10236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303E"/>
    <w:rsid w:val="00A870AD"/>
    <w:rsid w:val="00A90843"/>
    <w:rsid w:val="00A9645C"/>
    <w:rsid w:val="00AA6493"/>
    <w:rsid w:val="00AA6EF1"/>
    <w:rsid w:val="00AB2A33"/>
    <w:rsid w:val="00AC1275"/>
    <w:rsid w:val="00AC7395"/>
    <w:rsid w:val="00AC7AD8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1794B"/>
    <w:rsid w:val="00B3320F"/>
    <w:rsid w:val="00B357E9"/>
    <w:rsid w:val="00B4164D"/>
    <w:rsid w:val="00B425C1"/>
    <w:rsid w:val="00B606BA"/>
    <w:rsid w:val="00B63EAC"/>
    <w:rsid w:val="00B66817"/>
    <w:rsid w:val="00B71E3B"/>
    <w:rsid w:val="00B721D5"/>
    <w:rsid w:val="00B75E8A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5382"/>
    <w:rsid w:val="00CB2BF9"/>
    <w:rsid w:val="00CB4300"/>
    <w:rsid w:val="00CB454E"/>
    <w:rsid w:val="00CC030E"/>
    <w:rsid w:val="00CC68C4"/>
    <w:rsid w:val="00CC79A4"/>
    <w:rsid w:val="00CC7F97"/>
    <w:rsid w:val="00CD0FDE"/>
    <w:rsid w:val="00CE0E68"/>
    <w:rsid w:val="00CE42AC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185E"/>
    <w:rsid w:val="00DE7387"/>
    <w:rsid w:val="00DF2A6A"/>
    <w:rsid w:val="00DF3B72"/>
    <w:rsid w:val="00E10821"/>
    <w:rsid w:val="00E2489D"/>
    <w:rsid w:val="00E26520"/>
    <w:rsid w:val="00E343A3"/>
    <w:rsid w:val="00E51BFA"/>
    <w:rsid w:val="00E54144"/>
    <w:rsid w:val="00E61A08"/>
    <w:rsid w:val="00E621A3"/>
    <w:rsid w:val="00E833BC"/>
    <w:rsid w:val="00E8580E"/>
    <w:rsid w:val="00E87AF1"/>
    <w:rsid w:val="00E97E21"/>
    <w:rsid w:val="00EA1B76"/>
    <w:rsid w:val="00EA77D7"/>
    <w:rsid w:val="00EB4A6E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277D6"/>
    <w:rsid w:val="00F330CD"/>
    <w:rsid w:val="00F33A34"/>
    <w:rsid w:val="00F350C8"/>
    <w:rsid w:val="00F514E9"/>
    <w:rsid w:val="00F84613"/>
    <w:rsid w:val="00F8654D"/>
    <w:rsid w:val="00F900C9"/>
    <w:rsid w:val="00F92C96"/>
    <w:rsid w:val="00F97D1C"/>
    <w:rsid w:val="00FA0D4E"/>
    <w:rsid w:val="00FB0753"/>
    <w:rsid w:val="00FB3E98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6AC5C0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802F3A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T17-WTSA.20-C-0039!A22!MSW-A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557FF5-8E23-4416-A6FE-41F3386D99E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137F06F-D23A-49FE-8B97-3BEC247AE1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2CFE9-6A36-43A3-947A-0859F7419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T17-WTSA.20-C-0039!A22!MSW-A</vt:lpstr>
    </vt:vector>
  </TitlesOfParts>
  <Manager>General Secretariat - Pool</Manager>
  <Company>International Telecommunication Union (ITU)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T17-WTSA.20-C-0039!A22!MSW-A</dc:title>
  <dc:creator>Documents Proposals Manager (DPM)</dc:creator>
  <cp:keywords>DPM_v2021.3.2.1_prod</cp:keywords>
  <cp:lastModifiedBy>Arabic</cp:lastModifiedBy>
  <cp:revision>5</cp:revision>
  <cp:lastPrinted>2019-06-26T10:10:00Z</cp:lastPrinted>
  <dcterms:created xsi:type="dcterms:W3CDTF">2021-09-30T07:53:00Z</dcterms:created>
  <dcterms:modified xsi:type="dcterms:W3CDTF">2021-10-01T17:13:00Z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