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613"/>
        <w:gridCol w:w="3198"/>
      </w:tblGrid>
      <w:tr w:rsidR="009B0563" w:rsidRPr="008925DF" w14:paraId="16C27A47" w14:textId="77777777" w:rsidTr="009B0563">
        <w:trPr>
          <w:cantSplit/>
        </w:trPr>
        <w:tc>
          <w:tcPr>
            <w:tcW w:w="6613" w:type="dxa"/>
            <w:vAlign w:val="center"/>
          </w:tcPr>
          <w:p w14:paraId="02EE1F39" w14:textId="77777777" w:rsidR="009B0563" w:rsidRPr="008925DF" w:rsidRDefault="009B0563" w:rsidP="004B520A">
            <w:pPr>
              <w:rPr>
                <w:rFonts w:ascii="Verdana" w:hAnsi="Verdana" w:cs="Times New Roman Bold"/>
                <w:b/>
                <w:bCs/>
                <w:sz w:val="22"/>
                <w:szCs w:val="22"/>
              </w:rPr>
            </w:pPr>
            <w:r w:rsidRPr="008925DF">
              <w:rPr>
                <w:rFonts w:ascii="Verdana" w:hAnsi="Verdana" w:cs="Times New Roman Bold"/>
                <w:b/>
                <w:bCs/>
                <w:sz w:val="22"/>
                <w:szCs w:val="22"/>
              </w:rPr>
              <w:t>Asamblea Mundial de Normalización de las Telecomunicaciones (AMNT-20)</w:t>
            </w:r>
          </w:p>
          <w:p w14:paraId="04308861" w14:textId="753E60C0" w:rsidR="009B0563" w:rsidRPr="008925DF" w:rsidRDefault="00F24E2A" w:rsidP="00776E3D">
            <w:pPr>
              <w:spacing w:before="0"/>
              <w:rPr>
                <w:rFonts w:ascii="Verdana" w:hAnsi="Verdana" w:cs="Times New Roman Bold"/>
                <w:b/>
                <w:bCs/>
                <w:sz w:val="19"/>
                <w:szCs w:val="19"/>
              </w:rPr>
            </w:pPr>
            <w:r w:rsidRPr="00F24E2A">
              <w:rPr>
                <w:rFonts w:ascii="Verdana" w:hAnsi="Verdana" w:cs="Times New Roman Bold"/>
                <w:b/>
                <w:bCs/>
                <w:sz w:val="18"/>
                <w:szCs w:val="18"/>
              </w:rPr>
              <w:t>Ginebra</w:t>
            </w:r>
            <w:r w:rsidR="0094505C" w:rsidRPr="008925DF">
              <w:rPr>
                <w:rFonts w:ascii="Verdana" w:hAnsi="Verdana" w:cs="Times New Roman Bold"/>
                <w:b/>
                <w:bCs/>
                <w:sz w:val="18"/>
                <w:szCs w:val="18"/>
              </w:rPr>
              <w:t>,</w:t>
            </w:r>
            <w:r w:rsidR="00776E3D" w:rsidRPr="008925DF">
              <w:rPr>
                <w:rFonts w:ascii="Verdana" w:hAnsi="Verdana" w:cs="Times New Roman Bold"/>
                <w:b/>
                <w:bCs/>
                <w:sz w:val="18"/>
                <w:szCs w:val="18"/>
              </w:rPr>
              <w:t xml:space="preserve"> </w:t>
            </w:r>
            <w:r w:rsidR="0094505C" w:rsidRPr="008925DF">
              <w:rPr>
                <w:rFonts w:ascii="Verdana" w:hAnsi="Verdana" w:cs="Times New Roman Bold"/>
                <w:b/>
                <w:bCs/>
                <w:sz w:val="18"/>
                <w:szCs w:val="18"/>
              </w:rPr>
              <w:t>1</w:t>
            </w:r>
            <w:r w:rsidR="00776E3D" w:rsidRPr="008925DF">
              <w:rPr>
                <w:rFonts w:ascii="Verdana" w:hAnsi="Verdana" w:cs="Times New Roman Bold"/>
                <w:b/>
                <w:bCs/>
                <w:sz w:val="18"/>
                <w:szCs w:val="18"/>
              </w:rPr>
              <w:t>-</w:t>
            </w:r>
            <w:r w:rsidR="0094505C" w:rsidRPr="008925DF">
              <w:rPr>
                <w:rFonts w:ascii="Verdana" w:hAnsi="Verdana" w:cs="Times New Roman Bold"/>
                <w:b/>
                <w:bCs/>
                <w:sz w:val="18"/>
                <w:szCs w:val="18"/>
              </w:rPr>
              <w:t xml:space="preserve">9 </w:t>
            </w:r>
            <w:r w:rsidR="00776E3D" w:rsidRPr="008925DF">
              <w:rPr>
                <w:rFonts w:ascii="Verdana" w:hAnsi="Verdana" w:cs="Times New Roman Bold"/>
                <w:b/>
                <w:bCs/>
                <w:sz w:val="18"/>
                <w:szCs w:val="18"/>
              </w:rPr>
              <w:t>de marzo de 202</w:t>
            </w:r>
            <w:r w:rsidR="0094505C" w:rsidRPr="008925DF">
              <w:rPr>
                <w:rFonts w:ascii="Verdana" w:hAnsi="Verdana" w:cs="Times New Roman Bold"/>
                <w:b/>
                <w:bCs/>
                <w:sz w:val="18"/>
                <w:szCs w:val="18"/>
              </w:rPr>
              <w:t>2</w:t>
            </w:r>
          </w:p>
        </w:tc>
        <w:tc>
          <w:tcPr>
            <w:tcW w:w="3198" w:type="dxa"/>
            <w:vAlign w:val="center"/>
          </w:tcPr>
          <w:p w14:paraId="54ECAD55" w14:textId="77777777" w:rsidR="009B0563" w:rsidRPr="008925DF" w:rsidRDefault="009B0563" w:rsidP="009B0563">
            <w:pPr>
              <w:spacing w:before="0"/>
            </w:pPr>
            <w:r w:rsidRPr="008925DF">
              <w:rPr>
                <w:noProof/>
                <w:lang w:eastAsia="zh-CN"/>
              </w:rPr>
              <w:drawing>
                <wp:inline distT="0" distB="0" distL="0" distR="0" wp14:anchorId="5C458190" wp14:editId="7188503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8925DF" w14:paraId="3B2D650D" w14:textId="77777777" w:rsidTr="004B520A">
        <w:trPr>
          <w:cantSplit/>
        </w:trPr>
        <w:tc>
          <w:tcPr>
            <w:tcW w:w="6613" w:type="dxa"/>
            <w:tcBorders>
              <w:bottom w:val="single" w:sz="12" w:space="0" w:color="auto"/>
            </w:tcBorders>
          </w:tcPr>
          <w:p w14:paraId="3DD9A945" w14:textId="77777777" w:rsidR="00F0220A" w:rsidRPr="008925DF" w:rsidRDefault="00F0220A" w:rsidP="004B520A">
            <w:pPr>
              <w:spacing w:before="0"/>
            </w:pPr>
          </w:p>
        </w:tc>
        <w:tc>
          <w:tcPr>
            <w:tcW w:w="3198" w:type="dxa"/>
            <w:tcBorders>
              <w:bottom w:val="single" w:sz="12" w:space="0" w:color="auto"/>
            </w:tcBorders>
          </w:tcPr>
          <w:p w14:paraId="623F8DBD" w14:textId="77777777" w:rsidR="00F0220A" w:rsidRPr="008925DF" w:rsidRDefault="00F0220A" w:rsidP="004B520A">
            <w:pPr>
              <w:spacing w:before="0"/>
            </w:pPr>
          </w:p>
        </w:tc>
      </w:tr>
      <w:tr w:rsidR="005A374D" w:rsidRPr="008925DF" w14:paraId="0A1255E3" w14:textId="77777777" w:rsidTr="004B520A">
        <w:trPr>
          <w:cantSplit/>
        </w:trPr>
        <w:tc>
          <w:tcPr>
            <w:tcW w:w="6613" w:type="dxa"/>
            <w:tcBorders>
              <w:top w:val="single" w:sz="12" w:space="0" w:color="auto"/>
            </w:tcBorders>
          </w:tcPr>
          <w:p w14:paraId="578A71F2" w14:textId="77777777" w:rsidR="005A374D" w:rsidRPr="008925DF" w:rsidRDefault="005A374D" w:rsidP="004B520A">
            <w:pPr>
              <w:spacing w:before="0"/>
            </w:pPr>
          </w:p>
        </w:tc>
        <w:tc>
          <w:tcPr>
            <w:tcW w:w="3198" w:type="dxa"/>
          </w:tcPr>
          <w:p w14:paraId="75424307" w14:textId="77777777" w:rsidR="005A374D" w:rsidRPr="008925DF" w:rsidRDefault="005A374D" w:rsidP="004B520A">
            <w:pPr>
              <w:spacing w:before="0"/>
              <w:rPr>
                <w:rFonts w:ascii="Verdana" w:hAnsi="Verdana"/>
                <w:b/>
                <w:bCs/>
                <w:sz w:val="20"/>
              </w:rPr>
            </w:pPr>
          </w:p>
        </w:tc>
      </w:tr>
      <w:tr w:rsidR="00E83D45" w:rsidRPr="008925DF" w14:paraId="0B4A44C1" w14:textId="77777777" w:rsidTr="004B520A">
        <w:trPr>
          <w:cantSplit/>
        </w:trPr>
        <w:tc>
          <w:tcPr>
            <w:tcW w:w="6613" w:type="dxa"/>
          </w:tcPr>
          <w:p w14:paraId="7C75A021" w14:textId="77777777" w:rsidR="00E83D45" w:rsidRPr="008925DF" w:rsidRDefault="00E83D45" w:rsidP="004B520A">
            <w:pPr>
              <w:pStyle w:val="Committee"/>
              <w:framePr w:hSpace="0" w:wrap="auto" w:hAnchor="text" w:yAlign="inline"/>
              <w:rPr>
                <w:lang w:val="es-ES_tradnl"/>
              </w:rPr>
            </w:pPr>
            <w:r w:rsidRPr="008925DF">
              <w:rPr>
                <w:lang w:val="es-ES_tradnl"/>
              </w:rPr>
              <w:t>SESIÓN PLENARIA</w:t>
            </w:r>
          </w:p>
        </w:tc>
        <w:tc>
          <w:tcPr>
            <w:tcW w:w="3198" w:type="dxa"/>
          </w:tcPr>
          <w:p w14:paraId="478D1ACF" w14:textId="77777777" w:rsidR="00E83D45" w:rsidRPr="008925DF" w:rsidRDefault="00E83D45" w:rsidP="002E5627">
            <w:pPr>
              <w:pStyle w:val="DocNumber"/>
              <w:rPr>
                <w:bCs/>
                <w:lang w:val="es-ES_tradnl"/>
              </w:rPr>
            </w:pPr>
            <w:proofErr w:type="spellStart"/>
            <w:r w:rsidRPr="008925DF">
              <w:rPr>
                <w:lang w:val="es-ES_tradnl"/>
              </w:rPr>
              <w:t>Addéndum</w:t>
            </w:r>
            <w:proofErr w:type="spellEnd"/>
            <w:r w:rsidRPr="008925DF">
              <w:rPr>
                <w:lang w:val="es-ES_tradnl"/>
              </w:rPr>
              <w:t xml:space="preserve"> 21 al</w:t>
            </w:r>
            <w:r w:rsidRPr="008925DF">
              <w:rPr>
                <w:lang w:val="es-ES_tradnl"/>
              </w:rPr>
              <w:br/>
              <w:t>Documento 39-S</w:t>
            </w:r>
          </w:p>
        </w:tc>
      </w:tr>
      <w:tr w:rsidR="00E83D45" w:rsidRPr="008925DF" w14:paraId="444B3F8B" w14:textId="77777777" w:rsidTr="004B520A">
        <w:trPr>
          <w:cantSplit/>
        </w:trPr>
        <w:tc>
          <w:tcPr>
            <w:tcW w:w="6613" w:type="dxa"/>
          </w:tcPr>
          <w:p w14:paraId="3B3C5384" w14:textId="77777777" w:rsidR="00E83D45" w:rsidRPr="008925DF" w:rsidRDefault="00E83D45" w:rsidP="004B520A">
            <w:pPr>
              <w:spacing w:before="0" w:after="48"/>
              <w:rPr>
                <w:rFonts w:ascii="Verdana" w:hAnsi="Verdana"/>
                <w:b/>
                <w:smallCaps/>
                <w:sz w:val="20"/>
              </w:rPr>
            </w:pPr>
          </w:p>
        </w:tc>
        <w:tc>
          <w:tcPr>
            <w:tcW w:w="3198" w:type="dxa"/>
          </w:tcPr>
          <w:p w14:paraId="145CB9A9" w14:textId="77777777" w:rsidR="00E83D45" w:rsidRPr="008925DF" w:rsidRDefault="00E83D45" w:rsidP="004B520A">
            <w:pPr>
              <w:spacing w:before="0"/>
              <w:rPr>
                <w:rFonts w:ascii="Verdana" w:hAnsi="Verdana"/>
                <w:b/>
                <w:bCs/>
                <w:sz w:val="20"/>
              </w:rPr>
            </w:pPr>
            <w:r w:rsidRPr="008925DF">
              <w:rPr>
                <w:rFonts w:ascii="Verdana" w:hAnsi="Verdana"/>
                <w:b/>
                <w:sz w:val="20"/>
              </w:rPr>
              <w:t>24 de marzo de 2021</w:t>
            </w:r>
          </w:p>
        </w:tc>
      </w:tr>
      <w:tr w:rsidR="00E83D45" w:rsidRPr="008925DF" w14:paraId="60D3F8E4" w14:textId="77777777" w:rsidTr="004B520A">
        <w:trPr>
          <w:cantSplit/>
        </w:trPr>
        <w:tc>
          <w:tcPr>
            <w:tcW w:w="6613" w:type="dxa"/>
          </w:tcPr>
          <w:p w14:paraId="15D18559" w14:textId="77777777" w:rsidR="00E83D45" w:rsidRPr="008925DF" w:rsidRDefault="00E83D45" w:rsidP="004B520A">
            <w:pPr>
              <w:spacing w:before="0"/>
            </w:pPr>
          </w:p>
        </w:tc>
        <w:tc>
          <w:tcPr>
            <w:tcW w:w="3198" w:type="dxa"/>
          </w:tcPr>
          <w:p w14:paraId="21F5769C" w14:textId="77777777" w:rsidR="00E83D45" w:rsidRPr="008925DF" w:rsidRDefault="00E83D45" w:rsidP="004B520A">
            <w:pPr>
              <w:spacing w:before="0"/>
              <w:rPr>
                <w:rFonts w:ascii="Verdana" w:hAnsi="Verdana"/>
                <w:b/>
                <w:bCs/>
                <w:sz w:val="20"/>
              </w:rPr>
            </w:pPr>
            <w:r w:rsidRPr="008925DF">
              <w:rPr>
                <w:rFonts w:ascii="Verdana" w:hAnsi="Verdana"/>
                <w:b/>
                <w:sz w:val="20"/>
              </w:rPr>
              <w:t>Original: inglés</w:t>
            </w:r>
          </w:p>
        </w:tc>
      </w:tr>
      <w:tr w:rsidR="00681766" w:rsidRPr="008925DF" w14:paraId="031EF4E0" w14:textId="77777777" w:rsidTr="004B520A">
        <w:trPr>
          <w:cantSplit/>
        </w:trPr>
        <w:tc>
          <w:tcPr>
            <w:tcW w:w="9811" w:type="dxa"/>
            <w:gridSpan w:val="2"/>
          </w:tcPr>
          <w:p w14:paraId="3F0021D6" w14:textId="77777777" w:rsidR="00681766" w:rsidRPr="008925DF" w:rsidRDefault="00681766" w:rsidP="004B520A">
            <w:pPr>
              <w:spacing w:before="0"/>
              <w:rPr>
                <w:rFonts w:ascii="Verdana" w:hAnsi="Verdana"/>
                <w:b/>
                <w:bCs/>
                <w:sz w:val="20"/>
              </w:rPr>
            </w:pPr>
          </w:p>
        </w:tc>
      </w:tr>
      <w:tr w:rsidR="00E83D45" w:rsidRPr="008925DF" w14:paraId="301600EF" w14:textId="77777777" w:rsidTr="004B520A">
        <w:trPr>
          <w:cantSplit/>
        </w:trPr>
        <w:tc>
          <w:tcPr>
            <w:tcW w:w="9811" w:type="dxa"/>
            <w:gridSpan w:val="2"/>
          </w:tcPr>
          <w:p w14:paraId="55A4D897" w14:textId="77777777" w:rsidR="00E83D45" w:rsidRPr="008925DF" w:rsidRDefault="00E83D45" w:rsidP="004B520A">
            <w:pPr>
              <w:pStyle w:val="Source"/>
            </w:pPr>
            <w:r w:rsidRPr="008925DF">
              <w:t>Estados Miembros de la Comisión Interamericana de Telecomunicaciones (CITEL)</w:t>
            </w:r>
          </w:p>
        </w:tc>
      </w:tr>
      <w:tr w:rsidR="00E83D45" w:rsidRPr="008925DF" w14:paraId="33C09428" w14:textId="77777777" w:rsidTr="004B520A">
        <w:trPr>
          <w:cantSplit/>
        </w:trPr>
        <w:tc>
          <w:tcPr>
            <w:tcW w:w="9811" w:type="dxa"/>
            <w:gridSpan w:val="2"/>
          </w:tcPr>
          <w:p w14:paraId="572EA6C4" w14:textId="0D8EADEC" w:rsidR="00E83D45" w:rsidRPr="008925DF" w:rsidRDefault="00C37A11" w:rsidP="004B520A">
            <w:pPr>
              <w:pStyle w:val="Title1"/>
            </w:pPr>
            <w:r w:rsidRPr="008925DF">
              <w:t xml:space="preserve">PROPUESTA DE SUPRESIÓN DE LA RESOLUCIÓN </w:t>
            </w:r>
            <w:r w:rsidR="00E83D45" w:rsidRPr="008925DF">
              <w:t>45</w:t>
            </w:r>
          </w:p>
        </w:tc>
      </w:tr>
      <w:tr w:rsidR="00E83D45" w:rsidRPr="008925DF" w14:paraId="76091660" w14:textId="77777777" w:rsidTr="004B520A">
        <w:trPr>
          <w:cantSplit/>
        </w:trPr>
        <w:tc>
          <w:tcPr>
            <w:tcW w:w="9811" w:type="dxa"/>
            <w:gridSpan w:val="2"/>
          </w:tcPr>
          <w:p w14:paraId="7E008C08" w14:textId="77777777" w:rsidR="00E83D45" w:rsidRPr="008925DF" w:rsidRDefault="00E83D45" w:rsidP="004B520A">
            <w:pPr>
              <w:pStyle w:val="Title2"/>
            </w:pPr>
          </w:p>
        </w:tc>
      </w:tr>
      <w:tr w:rsidR="00E83D45" w:rsidRPr="008925DF" w14:paraId="4DAB3554" w14:textId="77777777" w:rsidTr="002E5627">
        <w:trPr>
          <w:cantSplit/>
          <w:trHeight w:hRule="exact" w:val="120"/>
        </w:trPr>
        <w:tc>
          <w:tcPr>
            <w:tcW w:w="9811" w:type="dxa"/>
            <w:gridSpan w:val="2"/>
          </w:tcPr>
          <w:p w14:paraId="55AC4A4C" w14:textId="77777777" w:rsidR="00E83D45" w:rsidRPr="008925DF" w:rsidRDefault="00E83D45" w:rsidP="004B520A">
            <w:pPr>
              <w:pStyle w:val="Agendaitem"/>
            </w:pPr>
          </w:p>
        </w:tc>
      </w:tr>
    </w:tbl>
    <w:p w14:paraId="3C29AAB0" w14:textId="77777777" w:rsidR="006B0F54" w:rsidRPr="008925DF" w:rsidRDefault="006B0F54" w:rsidP="006B0F54"/>
    <w:tbl>
      <w:tblPr>
        <w:tblW w:w="5089" w:type="pct"/>
        <w:tblLayout w:type="fixed"/>
        <w:tblLook w:val="0000" w:firstRow="0" w:lastRow="0" w:firstColumn="0" w:lastColumn="0" w:noHBand="0" w:noVBand="0"/>
      </w:tblPr>
      <w:tblGrid>
        <w:gridCol w:w="1560"/>
        <w:gridCol w:w="8251"/>
      </w:tblGrid>
      <w:tr w:rsidR="006B0F54" w:rsidRPr="008925DF" w14:paraId="6205E854" w14:textId="77777777" w:rsidTr="00193AD1">
        <w:trPr>
          <w:cantSplit/>
        </w:trPr>
        <w:tc>
          <w:tcPr>
            <w:tcW w:w="1560" w:type="dxa"/>
          </w:tcPr>
          <w:p w14:paraId="2585ED3E" w14:textId="77777777" w:rsidR="006B0F54" w:rsidRPr="008925DF" w:rsidRDefault="006B0F54" w:rsidP="00193AD1">
            <w:r w:rsidRPr="008925DF">
              <w:rPr>
                <w:b/>
                <w:bCs/>
              </w:rPr>
              <w:t>Resumen:</w:t>
            </w:r>
          </w:p>
        </w:tc>
        <w:tc>
          <w:tcPr>
            <w:tcW w:w="8251" w:type="dxa"/>
          </w:tcPr>
          <w:p w14:paraId="1DEB2C0E" w14:textId="092117CA" w:rsidR="006B0F54" w:rsidRPr="008925DF" w:rsidRDefault="00D04EA2" w:rsidP="00CA1F40">
            <w:pPr>
              <w:rPr>
                <w:color w:val="000000" w:themeColor="text1"/>
              </w:rPr>
            </w:pPr>
            <w:r w:rsidRPr="008925DF">
              <w:rPr>
                <w:color w:val="000000" w:themeColor="text1"/>
              </w:rPr>
              <w:t>A fin de centralizar la coordinación de los trabajos de normalización entre dos</w:t>
            </w:r>
            <w:r w:rsidR="009B0275">
              <w:rPr>
                <w:color w:val="000000" w:themeColor="text1"/>
              </w:rPr>
              <w:t> </w:t>
            </w:r>
            <w:r w:rsidRPr="008925DF">
              <w:rPr>
                <w:color w:val="000000" w:themeColor="text1"/>
              </w:rPr>
              <w:t>AMNT en una misma Resolución, la CITEL propone incorporar la parte dispositiva de la Resolución 45 de la AMNT en la Resolución 22 de la AMNT y suprimir la Resolución 45.</w:t>
            </w:r>
          </w:p>
        </w:tc>
      </w:tr>
    </w:tbl>
    <w:p w14:paraId="273F32A6" w14:textId="77777777" w:rsidR="0051705A" w:rsidRPr="008925DF" w:rsidRDefault="0051705A" w:rsidP="00C25B5B"/>
    <w:p w14:paraId="3E86DFCC" w14:textId="77777777" w:rsidR="00B07178" w:rsidRPr="008925DF" w:rsidRDefault="00B07178" w:rsidP="00C25B5B">
      <w:r w:rsidRPr="008925DF">
        <w:br w:type="page"/>
      </w:r>
    </w:p>
    <w:p w14:paraId="5744789D" w14:textId="77777777" w:rsidR="00E83D45" w:rsidRPr="008925DF" w:rsidRDefault="00E83D45" w:rsidP="007E5A28"/>
    <w:p w14:paraId="00EEA8A8" w14:textId="77777777" w:rsidR="00D37840" w:rsidRPr="008925DF" w:rsidRDefault="00AD2E6C">
      <w:pPr>
        <w:pStyle w:val="Proposal"/>
      </w:pPr>
      <w:r w:rsidRPr="008925DF">
        <w:t>SUP</w:t>
      </w:r>
      <w:r w:rsidRPr="008925DF">
        <w:tab/>
        <w:t>IAP/39A21/1</w:t>
      </w:r>
    </w:p>
    <w:p w14:paraId="4CA09700" w14:textId="096A50F3" w:rsidR="00FD410B" w:rsidRPr="008925DF" w:rsidRDefault="00AD2E6C" w:rsidP="00134DD6">
      <w:pPr>
        <w:pStyle w:val="ResNo"/>
        <w:rPr>
          <w:b/>
          <w:caps w:val="0"/>
        </w:rPr>
      </w:pPr>
      <w:bookmarkStart w:id="0" w:name="_Toc477787135"/>
      <w:r w:rsidRPr="008925DF">
        <w:t xml:space="preserve">RESOLUCIÓN </w:t>
      </w:r>
      <w:r w:rsidRPr="008925DF">
        <w:rPr>
          <w:rStyle w:val="href"/>
          <w:bCs/>
        </w:rPr>
        <w:t>45</w:t>
      </w:r>
      <w:r w:rsidRPr="008925DF">
        <w:t xml:space="preserve"> </w:t>
      </w:r>
      <w:r w:rsidRPr="008925DF">
        <w:rPr>
          <w:bCs/>
        </w:rPr>
        <w:t>(</w:t>
      </w:r>
      <w:r w:rsidRPr="008925DF">
        <w:rPr>
          <w:bCs/>
          <w:caps w:val="0"/>
        </w:rPr>
        <w:t>Rev</w:t>
      </w:r>
      <w:r w:rsidRPr="008925DF">
        <w:rPr>
          <w:bCs/>
        </w:rPr>
        <w:t xml:space="preserve">. </w:t>
      </w:r>
      <w:proofErr w:type="spellStart"/>
      <w:r w:rsidRPr="008925DF">
        <w:rPr>
          <w:bCs/>
          <w:caps w:val="0"/>
        </w:rPr>
        <w:t>Hammamet</w:t>
      </w:r>
      <w:proofErr w:type="spellEnd"/>
      <w:r w:rsidRPr="008925DF">
        <w:rPr>
          <w:bCs/>
        </w:rPr>
        <w:t>, 2016)</w:t>
      </w:r>
      <w:bookmarkEnd w:id="0"/>
    </w:p>
    <w:p w14:paraId="47CDABFF" w14:textId="77777777" w:rsidR="00FD410B" w:rsidRPr="008925DF" w:rsidRDefault="00AD2E6C" w:rsidP="00FD410B">
      <w:pPr>
        <w:pStyle w:val="Restitle"/>
      </w:pPr>
      <w:bookmarkStart w:id="1" w:name="_Toc477787136"/>
      <w:r w:rsidRPr="008925DF">
        <w:t xml:space="preserve">Coordinación eficaz de la labor de normalización en las Comisiones </w:t>
      </w:r>
      <w:r w:rsidRPr="008925DF">
        <w:br/>
        <w:t xml:space="preserve">de Estudio del Sector de Normalización de las Telecomunicaciones </w:t>
      </w:r>
      <w:r w:rsidRPr="008925DF">
        <w:br/>
        <w:t xml:space="preserve">de la UIT, y cometido del Grupo Asesor de Normalización </w:t>
      </w:r>
      <w:r w:rsidRPr="008925DF">
        <w:br/>
        <w:t>de las Telecomunicaciones</w:t>
      </w:r>
      <w:bookmarkEnd w:id="1"/>
    </w:p>
    <w:p w14:paraId="384C3D0A" w14:textId="77777777" w:rsidR="00FD410B" w:rsidRPr="008925DF" w:rsidRDefault="00AD2E6C" w:rsidP="00FD410B">
      <w:pPr>
        <w:pStyle w:val="Resref"/>
      </w:pPr>
      <w:r w:rsidRPr="008925DF">
        <w:t xml:space="preserve">(Florianópolis, 2004; Johannesburgo, 2008; Dubái, 2012; </w:t>
      </w:r>
      <w:proofErr w:type="spellStart"/>
      <w:r w:rsidRPr="008925DF">
        <w:t>Hammamet</w:t>
      </w:r>
      <w:proofErr w:type="spellEnd"/>
      <w:r w:rsidRPr="008925DF">
        <w:t>, 2016)</w:t>
      </w:r>
    </w:p>
    <w:p w14:paraId="5FCE7595" w14:textId="77777777" w:rsidR="00FD410B" w:rsidRPr="008925DF" w:rsidRDefault="00AD2E6C" w:rsidP="00FD410B">
      <w:pPr>
        <w:pStyle w:val="Normalaftertitle"/>
      </w:pPr>
      <w:r w:rsidRPr="008925DF">
        <w:t>La Asamblea Mundial de Normalización de las Telecomunicaciones (</w:t>
      </w:r>
      <w:proofErr w:type="spellStart"/>
      <w:r w:rsidRPr="008925DF">
        <w:t>Hammamet</w:t>
      </w:r>
      <w:proofErr w:type="spellEnd"/>
      <w:r w:rsidRPr="008925DF">
        <w:t>, 2016),</w:t>
      </w:r>
    </w:p>
    <w:p w14:paraId="44E75C7E" w14:textId="62AB1608" w:rsidR="007F1532" w:rsidRPr="008925DF" w:rsidRDefault="00AD2E6C" w:rsidP="007F1532">
      <w:pPr>
        <w:pStyle w:val="Reasons"/>
      </w:pPr>
      <w:r w:rsidRPr="008925DF">
        <w:rPr>
          <w:b/>
        </w:rPr>
        <w:t>Motivos:</w:t>
      </w:r>
      <w:r w:rsidRPr="008925DF">
        <w:tab/>
      </w:r>
      <w:r w:rsidR="00C37A11" w:rsidRPr="008925DF">
        <w:t>L</w:t>
      </w:r>
      <w:r w:rsidR="007F1532" w:rsidRPr="008925DF">
        <w:t xml:space="preserve">a Resolución 22 (Rev. </w:t>
      </w:r>
      <w:proofErr w:type="spellStart"/>
      <w:r w:rsidR="007F1532" w:rsidRPr="008925DF">
        <w:t>Hammamet</w:t>
      </w:r>
      <w:proofErr w:type="spellEnd"/>
      <w:r w:rsidR="007F1532" w:rsidRPr="008925DF">
        <w:t xml:space="preserve">, 2016) trata de la autorización para que el Grupo Asesor de Normalización de las Telecomunicaciones (GANT) actúe en el periodo entre Asambleas Mundiales de Normalización de las Telecomunicaciones (AMNT), mientras que la Resolución 45 (Rev. </w:t>
      </w:r>
      <w:proofErr w:type="spellStart"/>
      <w:r w:rsidR="007F1532" w:rsidRPr="008925DF">
        <w:t>Hammamet</w:t>
      </w:r>
      <w:proofErr w:type="spellEnd"/>
      <w:r w:rsidR="007F1532" w:rsidRPr="008925DF">
        <w:t>, 2016) versa sobre la coordinación eficaz de la labor de normalización en las Comisiones de Estudio del UIT-T, en el Secto</w:t>
      </w:r>
      <w:r w:rsidRPr="008925DF">
        <w:t>r</w:t>
      </w:r>
      <w:r w:rsidR="007F1532" w:rsidRPr="008925DF">
        <w:t xml:space="preserve"> de Normalización de las Telecomunicaciones de la</w:t>
      </w:r>
      <w:r w:rsidR="00474427" w:rsidRPr="008925DF">
        <w:t> </w:t>
      </w:r>
      <w:r w:rsidR="007F1532" w:rsidRPr="008925DF">
        <w:t xml:space="preserve">UIT. Mantener la Resolución 45 no parece tener ninguna utilidad, a tenor del papel y las responsabilidades actuales del GANT definidas en el Artículo 14A del Convenio de la UIT y en las Resoluciones 1 (Rev. </w:t>
      </w:r>
      <w:proofErr w:type="spellStart"/>
      <w:r w:rsidR="007F1532" w:rsidRPr="008925DF">
        <w:t>Hammamet</w:t>
      </w:r>
      <w:proofErr w:type="spellEnd"/>
      <w:r w:rsidR="007F1532" w:rsidRPr="008925DF">
        <w:t>, 2016) y 22, que prevén dicha función de coordinación.</w:t>
      </w:r>
    </w:p>
    <w:p w14:paraId="7AD42F40" w14:textId="6D315384" w:rsidR="007F1532" w:rsidRPr="008925DF" w:rsidRDefault="007F1532" w:rsidP="00CD1F05">
      <w:r w:rsidRPr="008925DF">
        <w:t xml:space="preserve">Habida cuenta de que existe cierta duplicidad entre la Resolución 22 y la Resolución 45 y de que la Conferencia de Plenipotenciarios de 2018 reconoció la necesidad de racionalizar las Resoluciones, la CITEL propone suprimir la Resolución 45 y modificar la Resolución 22 de la AMNT (conforme al </w:t>
      </w:r>
      <w:proofErr w:type="spellStart"/>
      <w:r w:rsidRPr="008925DF">
        <w:t>Add</w:t>
      </w:r>
      <w:r w:rsidR="00102007" w:rsidRPr="008925DF">
        <w:t>é</w:t>
      </w:r>
      <w:r w:rsidRPr="008925DF">
        <w:t>ndum</w:t>
      </w:r>
      <w:proofErr w:type="spellEnd"/>
      <w:r w:rsidRPr="008925DF">
        <w:t xml:space="preserve"> 25 al Documento 39) para definir la función del GANT en la coordinación efectiva de los trabajos de normalización entre las Comisiones de Estudio, como prevé la Resolución 45.</w:t>
      </w:r>
    </w:p>
    <w:p w14:paraId="69170312" w14:textId="77777777" w:rsidR="00764656" w:rsidRPr="008925DF" w:rsidRDefault="00764656" w:rsidP="00764656"/>
    <w:p w14:paraId="32DDA8B3" w14:textId="77777777" w:rsidR="00764656" w:rsidRPr="008925DF" w:rsidRDefault="00764656">
      <w:pPr>
        <w:jc w:val="center"/>
      </w:pPr>
      <w:r w:rsidRPr="008925DF">
        <w:t>______________</w:t>
      </w:r>
    </w:p>
    <w:sectPr w:rsidR="00764656" w:rsidRPr="008925DF">
      <w:headerReference w:type="default" r:id="rId11"/>
      <w:footerReference w:type="even" r:id="rId12"/>
      <w:footerReference w:type="default" r:id="rId13"/>
      <w:footerReference w:type="first" r:id="rId14"/>
      <w:pgSz w:w="11907" w:h="16834"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FD491" w14:textId="77777777" w:rsidR="00FC241D" w:rsidRDefault="00FC241D">
      <w:r>
        <w:separator/>
      </w:r>
    </w:p>
  </w:endnote>
  <w:endnote w:type="continuationSeparator" w:id="0">
    <w:p w14:paraId="79AAB0F0" w14:textId="77777777" w:rsidR="00FC241D" w:rsidRDefault="00FC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784E5"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8220C0" w14:textId="3516AE64"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A25100">
      <w:rPr>
        <w:noProof/>
        <w:lang w:val="fr-CH"/>
      </w:rPr>
      <w:t>P:\ESP\ITU-T\CONF-T\WTSA20\000\039ADD21S.docx</w:t>
    </w:r>
    <w:r>
      <w:fldChar w:fldCharType="end"/>
    </w:r>
    <w:r w:rsidRPr="006E0078">
      <w:rPr>
        <w:lang w:val="fr-CH"/>
      </w:rPr>
      <w:tab/>
    </w:r>
    <w:r>
      <w:fldChar w:fldCharType="begin"/>
    </w:r>
    <w:r>
      <w:instrText xml:space="preserve"> SAVEDATE \@ DD.MM.YY </w:instrText>
    </w:r>
    <w:r>
      <w:fldChar w:fldCharType="separate"/>
    </w:r>
    <w:r w:rsidR="00F24E2A">
      <w:rPr>
        <w:noProof/>
      </w:rPr>
      <w:t>27.08.21</w:t>
    </w:r>
    <w:r>
      <w:fldChar w:fldCharType="end"/>
    </w:r>
    <w:r w:rsidRPr="006E0078">
      <w:rPr>
        <w:lang w:val="fr-CH"/>
      </w:rPr>
      <w:tab/>
    </w:r>
    <w:r>
      <w:fldChar w:fldCharType="begin"/>
    </w:r>
    <w:r>
      <w:instrText xml:space="preserve"> PRINTDATE \@ DD.MM.YY </w:instrText>
    </w:r>
    <w:r>
      <w:fldChar w:fldCharType="separate"/>
    </w:r>
    <w:r w:rsidR="00A25100">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F1F45" w14:textId="74A773D5" w:rsidR="00A263AC" w:rsidRPr="00CD1F05" w:rsidRDefault="00F24E2A" w:rsidP="00A263AC">
    <w:pPr>
      <w:pStyle w:val="Footer"/>
      <w:rPr>
        <w:lang w:val="fr-CH"/>
      </w:rPr>
    </w:pPr>
    <w:r>
      <w:fldChar w:fldCharType="begin"/>
    </w:r>
    <w:r w:rsidRPr="00F24E2A">
      <w:rPr>
        <w:lang w:val="fr-BE"/>
      </w:rPr>
      <w:instrText xml:space="preserve"> FILENAME \p  \* MERGEFORMAT </w:instrText>
    </w:r>
    <w:r>
      <w:fldChar w:fldCharType="separate"/>
    </w:r>
    <w:r w:rsidR="00A25100" w:rsidRPr="00F24E2A">
      <w:rPr>
        <w:lang w:val="fr-BE"/>
      </w:rPr>
      <w:t>P:\ESP\ITU-T\CONF-T\WTSA20\000\039ADD21S.docx</w:t>
    </w:r>
    <w:r>
      <w:fldChar w:fldCharType="end"/>
    </w:r>
    <w:r w:rsidR="00A263AC" w:rsidRPr="00F24E2A">
      <w:rPr>
        <w:lang w:val="fr-BE"/>
      </w:rPr>
      <w:t xml:space="preserve"> (493254)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84885" w14:textId="2A188B7B" w:rsidR="00A263AC" w:rsidRPr="00CD1F05" w:rsidRDefault="00CD1F05" w:rsidP="00A263AC">
    <w:pPr>
      <w:pStyle w:val="Footer"/>
      <w:rPr>
        <w:lang w:val="fr-CH"/>
      </w:rPr>
    </w:pPr>
    <w:r>
      <w:fldChar w:fldCharType="begin"/>
    </w:r>
    <w:r w:rsidRPr="00F24E2A">
      <w:rPr>
        <w:lang w:val="fr-BE"/>
      </w:rPr>
      <w:instrText xml:space="preserve"> FILENAME \p  \* MERGEFORMAT </w:instrText>
    </w:r>
    <w:r>
      <w:fldChar w:fldCharType="separate"/>
    </w:r>
    <w:r w:rsidR="00A25100" w:rsidRPr="00F24E2A">
      <w:rPr>
        <w:lang w:val="fr-BE"/>
      </w:rPr>
      <w:t>P:\ESP\ITU-T\CONF-T\WTSA20\000\039ADD21S.docx</w:t>
    </w:r>
    <w:r>
      <w:fldChar w:fldCharType="end"/>
    </w:r>
    <w:r w:rsidR="00A263AC" w:rsidRPr="00F24E2A">
      <w:rPr>
        <w:lang w:val="fr-BE"/>
      </w:rPr>
      <w:t xml:space="preserve"> (493254)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F4C5A" w14:textId="77777777" w:rsidR="00FC241D" w:rsidRDefault="00FC241D">
      <w:r>
        <w:rPr>
          <w:b/>
        </w:rPr>
        <w:t>_______________</w:t>
      </w:r>
    </w:p>
  </w:footnote>
  <w:footnote w:type="continuationSeparator" w:id="0">
    <w:p w14:paraId="73B0FB26" w14:textId="77777777" w:rsidR="00FC241D" w:rsidRDefault="00FC2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A37AA" w14:textId="77777777" w:rsidR="00E83D45" w:rsidRDefault="00E83D45" w:rsidP="00E83D45">
    <w:pPr>
      <w:pStyle w:val="Header"/>
    </w:pPr>
    <w:r>
      <w:fldChar w:fldCharType="begin"/>
    </w:r>
    <w:r>
      <w:instrText xml:space="preserve"> PAGE  \* MERGEFORMAT </w:instrText>
    </w:r>
    <w:r>
      <w:fldChar w:fldCharType="separate"/>
    </w:r>
    <w:r w:rsidR="00E8097C">
      <w:rPr>
        <w:noProof/>
      </w:rPr>
      <w:t>2</w:t>
    </w:r>
    <w:r>
      <w:fldChar w:fldCharType="end"/>
    </w:r>
  </w:p>
  <w:p w14:paraId="6A763292" w14:textId="089BCE49" w:rsidR="00E83D45" w:rsidRPr="00C72D5C" w:rsidRDefault="002E5627" w:rsidP="00861D7D">
    <w:pPr>
      <w:pStyle w:val="Header"/>
      <w:spacing w:after="120"/>
    </w:pPr>
    <w:r>
      <w:fldChar w:fldCharType="begin"/>
    </w:r>
    <w:r>
      <w:instrText xml:space="preserve"> styleref DocNumber </w:instrText>
    </w:r>
    <w:r>
      <w:fldChar w:fldCharType="separate"/>
    </w:r>
    <w:r w:rsidR="00F24E2A">
      <w:rPr>
        <w:noProof/>
      </w:rPr>
      <w:t>Addéndum 21 al</w:t>
    </w:r>
    <w:r w:rsidR="00F24E2A">
      <w:rPr>
        <w:noProof/>
      </w:rPr>
      <w:br/>
      <w:t>Documento 39-S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121A4"/>
    <w:rsid w:val="00023137"/>
    <w:rsid w:val="0002785D"/>
    <w:rsid w:val="00057296"/>
    <w:rsid w:val="00087AE8"/>
    <w:rsid w:val="000A5B9A"/>
    <w:rsid w:val="000C7758"/>
    <w:rsid w:val="000E5BF9"/>
    <w:rsid w:val="000E5EE9"/>
    <w:rsid w:val="000F0E6D"/>
    <w:rsid w:val="00102007"/>
    <w:rsid w:val="00120191"/>
    <w:rsid w:val="00121170"/>
    <w:rsid w:val="00123CC5"/>
    <w:rsid w:val="0015142D"/>
    <w:rsid w:val="001616DC"/>
    <w:rsid w:val="00163962"/>
    <w:rsid w:val="00191A97"/>
    <w:rsid w:val="001A083F"/>
    <w:rsid w:val="001C41FA"/>
    <w:rsid w:val="001D380F"/>
    <w:rsid w:val="001D440E"/>
    <w:rsid w:val="001E2B52"/>
    <w:rsid w:val="001E3F27"/>
    <w:rsid w:val="001F20F0"/>
    <w:rsid w:val="0021371A"/>
    <w:rsid w:val="002337D9"/>
    <w:rsid w:val="00236D2A"/>
    <w:rsid w:val="00255F12"/>
    <w:rsid w:val="00262C09"/>
    <w:rsid w:val="00263815"/>
    <w:rsid w:val="0028017B"/>
    <w:rsid w:val="00286495"/>
    <w:rsid w:val="00292E20"/>
    <w:rsid w:val="002A791F"/>
    <w:rsid w:val="002C1B26"/>
    <w:rsid w:val="002C79B8"/>
    <w:rsid w:val="002E5627"/>
    <w:rsid w:val="002E701F"/>
    <w:rsid w:val="00305FD9"/>
    <w:rsid w:val="003237B0"/>
    <w:rsid w:val="003248A9"/>
    <w:rsid w:val="00324FFA"/>
    <w:rsid w:val="0032680B"/>
    <w:rsid w:val="00363A65"/>
    <w:rsid w:val="00377EC9"/>
    <w:rsid w:val="003B1E8C"/>
    <w:rsid w:val="003C2508"/>
    <w:rsid w:val="003D0AA3"/>
    <w:rsid w:val="004104AC"/>
    <w:rsid w:val="00454553"/>
    <w:rsid w:val="00474427"/>
    <w:rsid w:val="00476FB2"/>
    <w:rsid w:val="004B124A"/>
    <w:rsid w:val="004B520A"/>
    <w:rsid w:val="004C3636"/>
    <w:rsid w:val="004C3A5A"/>
    <w:rsid w:val="0051705A"/>
    <w:rsid w:val="00521B86"/>
    <w:rsid w:val="00523269"/>
    <w:rsid w:val="00532097"/>
    <w:rsid w:val="00566BEE"/>
    <w:rsid w:val="0058350F"/>
    <w:rsid w:val="00587104"/>
    <w:rsid w:val="005A374D"/>
    <w:rsid w:val="005C475F"/>
    <w:rsid w:val="005E782D"/>
    <w:rsid w:val="005F2605"/>
    <w:rsid w:val="00646147"/>
    <w:rsid w:val="00662039"/>
    <w:rsid w:val="00662BA0"/>
    <w:rsid w:val="00681766"/>
    <w:rsid w:val="00692AAE"/>
    <w:rsid w:val="006B0F54"/>
    <w:rsid w:val="006D6E67"/>
    <w:rsid w:val="006E0078"/>
    <w:rsid w:val="006E1A13"/>
    <w:rsid w:val="006E76B9"/>
    <w:rsid w:val="006F5664"/>
    <w:rsid w:val="00701C20"/>
    <w:rsid w:val="00702F3D"/>
    <w:rsid w:val="0070518E"/>
    <w:rsid w:val="00733DB5"/>
    <w:rsid w:val="00734034"/>
    <w:rsid w:val="007354E9"/>
    <w:rsid w:val="00764656"/>
    <w:rsid w:val="00765578"/>
    <w:rsid w:val="0077084A"/>
    <w:rsid w:val="00776E3D"/>
    <w:rsid w:val="00786250"/>
    <w:rsid w:val="00790506"/>
    <w:rsid w:val="007952C7"/>
    <w:rsid w:val="007C2317"/>
    <w:rsid w:val="007C39FA"/>
    <w:rsid w:val="007D330A"/>
    <w:rsid w:val="007E5A28"/>
    <w:rsid w:val="007E667F"/>
    <w:rsid w:val="007F1532"/>
    <w:rsid w:val="00861D7D"/>
    <w:rsid w:val="00866AE6"/>
    <w:rsid w:val="00866BBD"/>
    <w:rsid w:val="00873B75"/>
    <w:rsid w:val="008750A8"/>
    <w:rsid w:val="008925DF"/>
    <w:rsid w:val="00894DCB"/>
    <w:rsid w:val="008E35DA"/>
    <w:rsid w:val="008E4453"/>
    <w:rsid w:val="0090121B"/>
    <w:rsid w:val="009144C9"/>
    <w:rsid w:val="00916196"/>
    <w:rsid w:val="0094091F"/>
    <w:rsid w:val="0094505C"/>
    <w:rsid w:val="00973754"/>
    <w:rsid w:val="0097673E"/>
    <w:rsid w:val="00990278"/>
    <w:rsid w:val="009A137D"/>
    <w:rsid w:val="009B0275"/>
    <w:rsid w:val="009B0563"/>
    <w:rsid w:val="009C0BED"/>
    <w:rsid w:val="009E11EC"/>
    <w:rsid w:val="009F6A67"/>
    <w:rsid w:val="00A118DB"/>
    <w:rsid w:val="00A2374D"/>
    <w:rsid w:val="00A24AC0"/>
    <w:rsid w:val="00A25100"/>
    <w:rsid w:val="00A263AC"/>
    <w:rsid w:val="00A4450C"/>
    <w:rsid w:val="00A55F2D"/>
    <w:rsid w:val="00AA1D6C"/>
    <w:rsid w:val="00AA5E6C"/>
    <w:rsid w:val="00AB4E90"/>
    <w:rsid w:val="00AD2E6C"/>
    <w:rsid w:val="00AE5677"/>
    <w:rsid w:val="00AE658F"/>
    <w:rsid w:val="00AF2F78"/>
    <w:rsid w:val="00B07178"/>
    <w:rsid w:val="00B1727C"/>
    <w:rsid w:val="00B173B3"/>
    <w:rsid w:val="00B257B2"/>
    <w:rsid w:val="00B51263"/>
    <w:rsid w:val="00B52D55"/>
    <w:rsid w:val="00B61807"/>
    <w:rsid w:val="00B627DD"/>
    <w:rsid w:val="00B75455"/>
    <w:rsid w:val="00B80F65"/>
    <w:rsid w:val="00B8288C"/>
    <w:rsid w:val="00BD5FE4"/>
    <w:rsid w:val="00BE2E80"/>
    <w:rsid w:val="00BE5EDD"/>
    <w:rsid w:val="00BE6A1F"/>
    <w:rsid w:val="00C126C4"/>
    <w:rsid w:val="00C25B5B"/>
    <w:rsid w:val="00C37A11"/>
    <w:rsid w:val="00C614DC"/>
    <w:rsid w:val="00C63EB5"/>
    <w:rsid w:val="00C72410"/>
    <w:rsid w:val="00C858D0"/>
    <w:rsid w:val="00CA1F40"/>
    <w:rsid w:val="00CB35C9"/>
    <w:rsid w:val="00CC01E0"/>
    <w:rsid w:val="00CD1851"/>
    <w:rsid w:val="00CD1F05"/>
    <w:rsid w:val="00CD5FEE"/>
    <w:rsid w:val="00CD663E"/>
    <w:rsid w:val="00CE60D2"/>
    <w:rsid w:val="00D0288A"/>
    <w:rsid w:val="00D04EA2"/>
    <w:rsid w:val="00D37840"/>
    <w:rsid w:val="00D56781"/>
    <w:rsid w:val="00D72A5D"/>
    <w:rsid w:val="00DC629B"/>
    <w:rsid w:val="00DF5422"/>
    <w:rsid w:val="00E05BFF"/>
    <w:rsid w:val="00E21778"/>
    <w:rsid w:val="00E262F1"/>
    <w:rsid w:val="00E32BEE"/>
    <w:rsid w:val="00E47B44"/>
    <w:rsid w:val="00E71D14"/>
    <w:rsid w:val="00E8097C"/>
    <w:rsid w:val="00E83D45"/>
    <w:rsid w:val="00E91D30"/>
    <w:rsid w:val="00E94A4A"/>
    <w:rsid w:val="00EE1779"/>
    <w:rsid w:val="00EF0D6D"/>
    <w:rsid w:val="00F0220A"/>
    <w:rsid w:val="00F02C63"/>
    <w:rsid w:val="00F247BB"/>
    <w:rsid w:val="00F24E2A"/>
    <w:rsid w:val="00F26F4E"/>
    <w:rsid w:val="00F54E0E"/>
    <w:rsid w:val="00F606A0"/>
    <w:rsid w:val="00F62AB3"/>
    <w:rsid w:val="00F63177"/>
    <w:rsid w:val="00F66597"/>
    <w:rsid w:val="00F7212F"/>
    <w:rsid w:val="00F8150C"/>
    <w:rsid w:val="00FC241D"/>
    <w:rsid w:val="00FC3528"/>
    <w:rsid w:val="00FD5B74"/>
    <w:rsid w:val="00FD5C8C"/>
    <w:rsid w:val="00FE161E"/>
    <w:rsid w:val="00FE20EC"/>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033120A"/>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customStyle="1" w:styleId="href">
    <w:name w:val="href"/>
    <w:basedOn w:val="DefaultParagraphFont"/>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6b498a6e-2168-4c7d-a9de-c40b382e882f">DPM</DPM_x0020_Author>
    <DPM_x0020_File_x0020_name xmlns="6b498a6e-2168-4c7d-a9de-c40b382e882f">T17-WTSA.20-C-0039!A21!MSW-S</DPM_x0020_File_x0020_name>
    <DPM_x0020_Version xmlns="6b498a6e-2168-4c7d-a9de-c40b382e882f">DPM_2019.11.13.01</DPM_x0020_Version>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b498a6e-2168-4c7d-a9de-c40b382e882f" targetNamespace="http://schemas.microsoft.com/office/2006/metadata/properties" ma:root="true" ma:fieldsID="d41af5c836d734370eb92e7ee5f83852" ns2:_="" ns3:_="">
    <xsd:import namespace="996b2e75-67fd-4955-a3b0-5ab9934cb50b"/>
    <xsd:import namespace="6b498a6e-2168-4c7d-a9de-c40b382e882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b498a6e-2168-4c7d-a9de-c40b382e882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98a6e-2168-4c7d-a9de-c40b382e88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66DFD5-104E-40D4-8FC2-7B4536ADC049}">
  <ds:schemaRefs>
    <ds:schemaRef ds:uri="http://schemas.openxmlformats.org/officeDocument/2006/bibliography"/>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b498a6e-2168-4c7d-a9de-c40b382e88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341</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T17-WTSA.20-C-0039!A21!MSW-S</vt:lpstr>
    </vt:vector>
  </TitlesOfParts>
  <Manager>Secretaría General - Pool</Manager>
  <Company>International Telecommunication Union (ITU)</Company>
  <LinksUpToDate>false</LinksUpToDate>
  <CharactersWithSpaces>2237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T17-WTSA.20-C-0039!A21!MSW-S</dc:title>
  <dc:subject>World Telecommunication Standardization Assembly</dc:subject>
  <dc:creator>Documents Proposals Manager (DPM)</dc:creator>
  <cp:keywords>DPM_v2021.3.2.1_prod</cp:keywords>
  <dc:description>Template used by DPM and CPI for the WTSA-16</dc:description>
  <cp:lastModifiedBy>Spanish</cp:lastModifiedBy>
  <cp:revision>13</cp:revision>
  <cp:lastPrinted>2016-03-08T15:23:00Z</cp:lastPrinted>
  <dcterms:created xsi:type="dcterms:W3CDTF">2021-08-18T15:32:00Z</dcterms:created>
  <dcterms:modified xsi:type="dcterms:W3CDTF">2021-09-20T14:19:00Z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