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348"/>
        <w:gridCol w:w="5271"/>
        <w:gridCol w:w="3053"/>
      </w:tblGrid>
      <w:tr w:rsidR="00280E04" w14:paraId="3E9BEAA7" w14:textId="77777777" w:rsidTr="004E2A5D">
        <w:trPr>
          <w:cantSplit/>
          <w:trHeight w:val="20"/>
        </w:trPr>
        <w:tc>
          <w:tcPr>
            <w:tcW w:w="6619" w:type="dxa"/>
            <w:gridSpan w:val="2"/>
          </w:tcPr>
          <w:p w14:paraId="1A08FD22" w14:textId="77777777" w:rsidR="00A375BD" w:rsidRPr="00136B82" w:rsidRDefault="004E2A5D" w:rsidP="00680A38">
            <w:pPr>
              <w:pStyle w:val="LOGO"/>
              <w:framePr w:hSpace="0" w:wrap="auto" w:xAlign="left" w:yAlign="inline"/>
            </w:pPr>
            <w:r>
              <w:rPr>
                <w:rFonts w:hint="cs"/>
                <w:rtl/>
              </w:rPr>
              <w:t xml:space="preserve">الجمعية العالمية لتقييس الاتصالات </w:t>
            </w:r>
            <w:r>
              <w:t>(WTSA-20)</w:t>
            </w:r>
          </w:p>
          <w:p w14:paraId="65E3D0B3" w14:textId="502C2004" w:rsidR="00A33A95" w:rsidRPr="00136B82" w:rsidRDefault="0013540D" w:rsidP="00A33A95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>
              <w:rPr>
                <w:rFonts w:hint="cs"/>
                <w:sz w:val="26"/>
                <w:szCs w:val="26"/>
                <w:rtl/>
                <w:lang w:bidi="ar-SA"/>
              </w:rPr>
              <w:t>جنيف</w:t>
            </w:r>
            <w:r w:rsidR="00A33A95" w:rsidRPr="00A33A95">
              <w:rPr>
                <w:rFonts w:hint="cs"/>
                <w:sz w:val="26"/>
                <w:szCs w:val="26"/>
                <w:rtl/>
                <w:lang w:bidi="ar-SA"/>
              </w:rPr>
              <w:t xml:space="preserve">، </w:t>
            </w:r>
            <w:r w:rsidR="00A33A95">
              <w:rPr>
                <w:sz w:val="26"/>
                <w:szCs w:val="26"/>
              </w:rPr>
              <w:t>1</w:t>
            </w:r>
            <w:r w:rsidR="00A33A95">
              <w:rPr>
                <w:rFonts w:hint="cs"/>
                <w:sz w:val="26"/>
                <w:szCs w:val="26"/>
                <w:rtl/>
              </w:rPr>
              <w:t>-</w:t>
            </w:r>
            <w:r w:rsidR="00A33A95">
              <w:rPr>
                <w:sz w:val="26"/>
                <w:szCs w:val="26"/>
              </w:rPr>
              <w:t>9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A33A95" w:rsidRPr="007A3A06">
              <w:rPr>
                <w:rFonts w:hint="cs"/>
                <w:sz w:val="26"/>
                <w:szCs w:val="26"/>
                <w:rtl/>
                <w:lang w:bidi="ar-SA"/>
              </w:rPr>
              <w:t xml:space="preserve">مارس </w:t>
            </w:r>
            <w:r w:rsidR="00A33A95">
              <w:rPr>
                <w:sz w:val="26"/>
                <w:szCs w:val="26"/>
              </w:rPr>
              <w:t>2022</w:t>
            </w:r>
          </w:p>
        </w:tc>
        <w:tc>
          <w:tcPr>
            <w:tcW w:w="3053" w:type="dxa"/>
          </w:tcPr>
          <w:p w14:paraId="6FCA4A93" w14:textId="77777777" w:rsidR="00280E04" w:rsidRDefault="004E2A5D" w:rsidP="004E2A5D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368121F8" wp14:editId="1300F30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48EDB05B" w14:textId="77777777" w:rsidTr="004E2A5D">
        <w:trPr>
          <w:cantSplit/>
          <w:trHeight w:val="20"/>
        </w:trPr>
        <w:tc>
          <w:tcPr>
            <w:tcW w:w="6619" w:type="dxa"/>
            <w:gridSpan w:val="2"/>
            <w:tcBorders>
              <w:bottom w:val="single" w:sz="12" w:space="0" w:color="auto"/>
            </w:tcBorders>
          </w:tcPr>
          <w:p w14:paraId="7E85EF3E" w14:textId="77777777" w:rsidR="00280E04" w:rsidRPr="00960962" w:rsidRDefault="00280E04" w:rsidP="008A1E64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733810E9" w14:textId="77777777" w:rsidR="00280E04" w:rsidRPr="00A9645C" w:rsidRDefault="00280E04" w:rsidP="008A1E64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4A30F757" w14:textId="77777777" w:rsidTr="004E2A5D">
        <w:trPr>
          <w:cantSplit/>
          <w:trHeight w:val="20"/>
        </w:trPr>
        <w:tc>
          <w:tcPr>
            <w:tcW w:w="6619" w:type="dxa"/>
            <w:gridSpan w:val="2"/>
            <w:tcBorders>
              <w:top w:val="single" w:sz="12" w:space="0" w:color="auto"/>
            </w:tcBorders>
          </w:tcPr>
          <w:p w14:paraId="61937AAF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71D66D6E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</w:pPr>
          </w:p>
        </w:tc>
      </w:tr>
      <w:tr w:rsidR="00A809E8" w14:paraId="58EB2E9C" w14:textId="77777777" w:rsidTr="004E2A5D">
        <w:trPr>
          <w:cantSplit/>
        </w:trPr>
        <w:tc>
          <w:tcPr>
            <w:tcW w:w="6619" w:type="dxa"/>
            <w:gridSpan w:val="2"/>
          </w:tcPr>
          <w:p w14:paraId="538DB17A" w14:textId="77777777" w:rsidR="00A809E8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5C3880">
              <w:rPr>
                <w:rtl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7DDE6C3C" w14:textId="77777777" w:rsidR="00A809E8" w:rsidRPr="00031E70" w:rsidRDefault="00996DD9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>
              <w:rPr>
                <w:rFonts w:hint="cs"/>
                <w:rtl/>
              </w:rPr>
              <w:t>الإضافة </w:t>
            </w:r>
            <w:r w:rsidR="005C3880" w:rsidRPr="00031E70">
              <w:t>21</w:t>
            </w:r>
            <w:r w:rsidR="005C3880" w:rsidRPr="00031E70">
              <w:br/>
            </w:r>
            <w:r>
              <w:rPr>
                <w:rFonts w:hint="cs"/>
                <w:rtl/>
              </w:rPr>
              <w:t>للوثيقة</w:t>
            </w:r>
            <w:r w:rsidR="00031E70">
              <w:rPr>
                <w:rFonts w:hint="cs"/>
                <w:rtl/>
              </w:rPr>
              <w:t xml:space="preserve"> </w:t>
            </w:r>
            <w:r w:rsidR="00031E70">
              <w:t>39-A</w:t>
            </w:r>
          </w:p>
        </w:tc>
      </w:tr>
      <w:tr w:rsidR="005C3880" w14:paraId="1F0C28AC" w14:textId="77777777" w:rsidTr="004E2A5D">
        <w:trPr>
          <w:cantSplit/>
        </w:trPr>
        <w:tc>
          <w:tcPr>
            <w:tcW w:w="6619" w:type="dxa"/>
            <w:gridSpan w:val="2"/>
          </w:tcPr>
          <w:p w14:paraId="5167F767" w14:textId="77777777" w:rsidR="005C3880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1C8B175E" w14:textId="77777777" w:rsidR="005C3880" w:rsidRPr="00031E70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031E70">
              <w:rPr>
                <w:rFonts w:eastAsia="SimSun"/>
              </w:rPr>
              <w:t>24</w:t>
            </w:r>
            <w:r w:rsidRPr="00031E70">
              <w:rPr>
                <w:rFonts w:eastAsia="SimSun"/>
                <w:rtl/>
              </w:rPr>
              <w:t xml:space="preserve"> مارس </w:t>
            </w:r>
            <w:r w:rsidRPr="00031E70">
              <w:rPr>
                <w:rFonts w:eastAsia="SimSun"/>
              </w:rPr>
              <w:t>2021</w:t>
            </w:r>
          </w:p>
        </w:tc>
      </w:tr>
      <w:tr w:rsidR="005C3880" w14:paraId="4FFFDDAD" w14:textId="77777777" w:rsidTr="004E2A5D">
        <w:trPr>
          <w:cantSplit/>
        </w:trPr>
        <w:tc>
          <w:tcPr>
            <w:tcW w:w="6619" w:type="dxa"/>
            <w:gridSpan w:val="2"/>
          </w:tcPr>
          <w:p w14:paraId="308118D1" w14:textId="77777777" w:rsidR="005C3880" w:rsidRPr="004E2A5D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63A1C498" w14:textId="77777777" w:rsidR="005C3880" w:rsidRPr="00031E70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</w:rPr>
            </w:pPr>
            <w:r w:rsidRPr="00031E70">
              <w:rPr>
                <w:rtl/>
              </w:rPr>
              <w:t>الأصل: بالإنكليزية</w:t>
            </w:r>
          </w:p>
        </w:tc>
      </w:tr>
      <w:tr w:rsidR="005C3880" w14:paraId="50D17A14" w14:textId="77777777" w:rsidTr="004E2A5D">
        <w:trPr>
          <w:cantSplit/>
        </w:trPr>
        <w:tc>
          <w:tcPr>
            <w:tcW w:w="9672" w:type="dxa"/>
            <w:gridSpan w:val="3"/>
          </w:tcPr>
          <w:p w14:paraId="25E80340" w14:textId="77777777" w:rsidR="005C3880" w:rsidRDefault="005C3880" w:rsidP="005C388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5C3880" w14:paraId="6A8B0860" w14:textId="77777777" w:rsidTr="004E2A5D">
        <w:trPr>
          <w:cantSplit/>
        </w:trPr>
        <w:tc>
          <w:tcPr>
            <w:tcW w:w="9672" w:type="dxa"/>
            <w:gridSpan w:val="3"/>
          </w:tcPr>
          <w:p w14:paraId="0F452437" w14:textId="77777777" w:rsidR="005C3880" w:rsidRPr="00E621A3" w:rsidRDefault="005C3880" w:rsidP="005C3880">
            <w:pPr>
              <w:pStyle w:val="Source"/>
              <w:rPr>
                <w:rtl/>
              </w:rPr>
            </w:pPr>
            <w:r w:rsidRPr="005C3880">
              <w:rPr>
                <w:rtl/>
              </w:rPr>
              <w:t>الدول الأعضاء في لجنة البلدان الأمريكية للاتصالات (CITEL)</w:t>
            </w:r>
          </w:p>
        </w:tc>
      </w:tr>
      <w:tr w:rsidR="005C3880" w14:paraId="48085879" w14:textId="77777777" w:rsidTr="004E2A5D">
        <w:trPr>
          <w:cantSplit/>
        </w:trPr>
        <w:tc>
          <w:tcPr>
            <w:tcW w:w="9672" w:type="dxa"/>
            <w:gridSpan w:val="3"/>
          </w:tcPr>
          <w:p w14:paraId="72CD4621" w14:textId="77777777" w:rsidR="005C3880" w:rsidRPr="00BD6EF3" w:rsidRDefault="004037A8" w:rsidP="005C388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إلغاء مقترح للقرار 45</w:t>
            </w:r>
          </w:p>
        </w:tc>
      </w:tr>
      <w:tr w:rsidR="005C3880" w14:paraId="6EA6A59B" w14:textId="77777777" w:rsidTr="004E2A5D">
        <w:trPr>
          <w:cantSplit/>
        </w:trPr>
        <w:tc>
          <w:tcPr>
            <w:tcW w:w="9672" w:type="dxa"/>
            <w:gridSpan w:val="3"/>
          </w:tcPr>
          <w:p w14:paraId="0336F6CC" w14:textId="77777777" w:rsidR="005C3880" w:rsidRPr="00BD6EF3" w:rsidRDefault="005C3880" w:rsidP="005C3880">
            <w:pPr>
              <w:pStyle w:val="Title2"/>
              <w:rPr>
                <w:rtl/>
              </w:rPr>
            </w:pPr>
          </w:p>
        </w:tc>
      </w:tr>
      <w:tr w:rsidR="005C3880" w14:paraId="59C7FDB2" w14:textId="77777777" w:rsidTr="00FC7FD8">
        <w:trPr>
          <w:cantSplit/>
        </w:trPr>
        <w:tc>
          <w:tcPr>
            <w:tcW w:w="9672" w:type="dxa"/>
            <w:gridSpan w:val="3"/>
          </w:tcPr>
          <w:p w14:paraId="0A2C1FAE" w14:textId="77777777" w:rsidR="005C3880" w:rsidRDefault="005C3880" w:rsidP="005C3880">
            <w:pPr>
              <w:rPr>
                <w:rtl/>
              </w:rPr>
            </w:pPr>
          </w:p>
        </w:tc>
      </w:tr>
      <w:tr w:rsidR="005C3880" w14:paraId="0B04CB99" w14:textId="77777777" w:rsidTr="00FC7FD8">
        <w:trPr>
          <w:cantSplit/>
        </w:trPr>
        <w:tc>
          <w:tcPr>
            <w:tcW w:w="1348" w:type="dxa"/>
          </w:tcPr>
          <w:p w14:paraId="685C8B4D" w14:textId="77777777" w:rsidR="005C3880" w:rsidRPr="004E2A5D" w:rsidRDefault="005C3880" w:rsidP="005C3880">
            <w:pPr>
              <w:spacing w:after="120"/>
              <w:rPr>
                <w:b/>
                <w:bCs/>
                <w:rtl/>
              </w:rPr>
            </w:pPr>
            <w:r w:rsidRPr="004E2A5D">
              <w:rPr>
                <w:rFonts w:hint="cs"/>
                <w:b/>
                <w:bCs/>
                <w:rtl/>
              </w:rPr>
              <w:t>ملخص:</w:t>
            </w:r>
          </w:p>
        </w:tc>
        <w:tc>
          <w:tcPr>
            <w:tcW w:w="8324" w:type="dxa"/>
            <w:gridSpan w:val="2"/>
          </w:tcPr>
          <w:p w14:paraId="4158E98E" w14:textId="77777777" w:rsidR="005C3880" w:rsidRDefault="004037A8" w:rsidP="005C3880">
            <w:pPr>
              <w:spacing w:after="120"/>
              <w:rPr>
                <w:rtl/>
              </w:rPr>
            </w:pPr>
            <w:r>
              <w:rPr>
                <w:rFonts w:hint="cs"/>
                <w:rtl/>
              </w:rPr>
              <w:t xml:space="preserve">بغية تركيز تنسيق أعمال التقييس في الفترات الفاصلة بين الجمعيات العالمية لتقييس الاتصالات في قرار واحد، تقترح لجنة البلدان الأمريكية للاتصالات إدراج جزء </w:t>
            </w:r>
            <w:r w:rsidR="00C353A9">
              <w:rPr>
                <w:rFonts w:hint="cs"/>
                <w:rtl/>
              </w:rPr>
              <w:t>منطوق القرار 45 للجمعية العالمية لتقييس الاتصالات في القرار 22 للجمعية، وإلغاء القرار 45.</w:t>
            </w:r>
          </w:p>
        </w:tc>
      </w:tr>
    </w:tbl>
    <w:p w14:paraId="52036C58" w14:textId="77777777" w:rsidR="002F3E46" w:rsidRPr="00B71EB5" w:rsidRDefault="002F3E46" w:rsidP="00523D37">
      <w:pPr>
        <w:rPr>
          <w:lang w:bidi="ar-EG"/>
        </w:rPr>
      </w:pPr>
    </w:p>
    <w:p w14:paraId="68605BE9" w14:textId="77777777" w:rsidR="0012545F" w:rsidRDefault="0012545F">
      <w:pPr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53B2E1B8" w14:textId="77777777" w:rsidR="009031BA" w:rsidRDefault="00A02E2C">
      <w:pPr>
        <w:pStyle w:val="Proposal"/>
      </w:pPr>
      <w:r>
        <w:lastRenderedPageBreak/>
        <w:t>SUP</w:t>
      </w:r>
      <w:r>
        <w:tab/>
        <w:t>IAP/39A21/1</w:t>
      </w:r>
    </w:p>
    <w:p w14:paraId="108A3526" w14:textId="77777777" w:rsidR="0043659F" w:rsidRPr="00410333" w:rsidRDefault="00A02E2C" w:rsidP="00B17728">
      <w:pPr>
        <w:pStyle w:val="ResNo"/>
        <w:rPr>
          <w:rtl/>
        </w:rPr>
      </w:pPr>
      <w:bookmarkStart w:id="1" w:name="_Toc349551579"/>
      <w:bookmarkStart w:id="2" w:name="RES_45"/>
      <w:r w:rsidRPr="00410333">
        <w:rPr>
          <w:rFonts w:hint="cs"/>
          <w:rtl/>
        </w:rPr>
        <w:t>ال</w:t>
      </w:r>
      <w:r w:rsidRPr="00410333">
        <w:rPr>
          <w:rtl/>
        </w:rPr>
        <w:t>قرار</w:t>
      </w:r>
      <w:r w:rsidRPr="00410333">
        <w:rPr>
          <w:rFonts w:hint="cs"/>
          <w:rtl/>
        </w:rPr>
        <w:t> </w:t>
      </w:r>
      <w:r w:rsidRPr="00410333">
        <w:rPr>
          <w:rStyle w:val="href"/>
        </w:rPr>
        <w:t>45</w:t>
      </w:r>
      <w:r w:rsidRPr="00410333">
        <w:rPr>
          <w:rFonts w:hint="cs"/>
          <w:rtl/>
        </w:rPr>
        <w:t xml:space="preserve"> (المراجَع في الحمامات، </w:t>
      </w:r>
      <w:r w:rsidRPr="00410333">
        <w:t>2016</w:t>
      </w:r>
      <w:r w:rsidRPr="00410333">
        <w:rPr>
          <w:rFonts w:hint="cs"/>
          <w:rtl/>
        </w:rPr>
        <w:t>)</w:t>
      </w:r>
      <w:bookmarkEnd w:id="1"/>
    </w:p>
    <w:p w14:paraId="2125BC76" w14:textId="77777777" w:rsidR="0043659F" w:rsidRPr="00410333" w:rsidRDefault="00A02E2C" w:rsidP="00B17728">
      <w:pPr>
        <w:pStyle w:val="Restitle"/>
        <w:rPr>
          <w:rtl/>
        </w:rPr>
      </w:pPr>
      <w:bookmarkStart w:id="3" w:name="_Toc219803541"/>
      <w:bookmarkStart w:id="4" w:name="_Toc349551580"/>
      <w:bookmarkEnd w:id="2"/>
      <w:r w:rsidRPr="00410333">
        <w:rPr>
          <w:rFonts w:hint="cs"/>
          <w:rtl/>
        </w:rPr>
        <w:t>التنسيق الفعّال لأعمال التقييس فيما بين لجان الدراسات في قطاع تقييس الاتصالات</w:t>
      </w:r>
      <w:r w:rsidRPr="00410333">
        <w:rPr>
          <w:rFonts w:hint="cs"/>
          <w:rtl/>
        </w:rPr>
        <w:br/>
        <w:t xml:space="preserve">ودور </w:t>
      </w:r>
      <w:r w:rsidRPr="00410333">
        <w:rPr>
          <w:rFonts w:hint="cs"/>
          <w:rtl/>
          <w:lang w:eastAsia="zh-CN"/>
        </w:rPr>
        <w:t>الفريق الاستشاري لتقييس الاتصالات</w:t>
      </w:r>
      <w:bookmarkEnd w:id="3"/>
      <w:r w:rsidRPr="00410333">
        <w:rPr>
          <w:rFonts w:hint="cs"/>
          <w:rtl/>
          <w:lang w:eastAsia="zh-CN"/>
        </w:rPr>
        <w:t xml:space="preserve"> للاتحاد الدولي للاتصالات</w:t>
      </w:r>
      <w:bookmarkEnd w:id="4"/>
    </w:p>
    <w:p w14:paraId="3FBBC38C" w14:textId="77777777" w:rsidR="0043659F" w:rsidRPr="00410333" w:rsidRDefault="00A02E2C" w:rsidP="00B17728">
      <w:pPr>
        <w:pStyle w:val="Resref"/>
        <w:rPr>
          <w:iCs w:val="0"/>
          <w:rtl/>
        </w:rPr>
      </w:pPr>
      <w:r w:rsidRPr="00410333">
        <w:rPr>
          <w:rtl/>
        </w:rPr>
        <w:t>(</w:t>
      </w:r>
      <w:proofErr w:type="spellStart"/>
      <w:r w:rsidRPr="00410333">
        <w:rPr>
          <w:rFonts w:hint="eastAsia"/>
          <w:rtl/>
        </w:rPr>
        <w:t>فلوريانوبوليس</w:t>
      </w:r>
      <w:proofErr w:type="spellEnd"/>
      <w:r w:rsidRPr="00410333">
        <w:rPr>
          <w:rFonts w:hint="eastAsia"/>
          <w:rtl/>
        </w:rPr>
        <w:t>،</w:t>
      </w:r>
      <w:r w:rsidRPr="00410333">
        <w:rPr>
          <w:rtl/>
        </w:rPr>
        <w:t xml:space="preserve"> </w:t>
      </w:r>
      <w:r w:rsidRPr="00410333">
        <w:t>2004</w:t>
      </w:r>
      <w:r w:rsidRPr="00410333">
        <w:rPr>
          <w:rFonts w:hint="eastAsia"/>
          <w:rtl/>
        </w:rPr>
        <w:t>؛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جوهانسبرغ،</w:t>
      </w:r>
      <w:r w:rsidRPr="00410333">
        <w:rPr>
          <w:rtl/>
        </w:rPr>
        <w:t xml:space="preserve"> </w:t>
      </w:r>
      <w:r w:rsidRPr="00410333">
        <w:t>2008</w:t>
      </w:r>
      <w:r w:rsidRPr="00410333">
        <w:rPr>
          <w:rFonts w:hint="eastAsia"/>
          <w:rtl/>
        </w:rPr>
        <w:t>؛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دبي،</w:t>
      </w:r>
      <w:r w:rsidRPr="00410333">
        <w:rPr>
          <w:rtl/>
        </w:rPr>
        <w:t xml:space="preserve"> </w:t>
      </w:r>
      <w:r w:rsidRPr="00410333">
        <w:t>2012</w:t>
      </w:r>
      <w:r w:rsidRPr="00410333">
        <w:rPr>
          <w:rFonts w:hint="eastAsia"/>
          <w:rtl/>
        </w:rPr>
        <w:t>؛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الحمامات،</w:t>
      </w:r>
      <w:r w:rsidRPr="00410333">
        <w:rPr>
          <w:rtl/>
        </w:rPr>
        <w:t xml:space="preserve"> </w:t>
      </w:r>
      <w:r w:rsidRPr="00410333">
        <w:t>2016</w:t>
      </w:r>
      <w:r w:rsidRPr="00410333">
        <w:rPr>
          <w:rtl/>
        </w:rPr>
        <w:t>)</w:t>
      </w:r>
    </w:p>
    <w:p w14:paraId="2149B30B" w14:textId="77777777" w:rsidR="0043659F" w:rsidRDefault="00A02E2C" w:rsidP="00B17728">
      <w:pPr>
        <w:pStyle w:val="Normalaftertitle"/>
        <w:keepNext/>
        <w:spacing w:before="360"/>
        <w:rPr>
          <w:rtl/>
        </w:rPr>
      </w:pPr>
      <w:r w:rsidRPr="00410333">
        <w:rPr>
          <w:rFonts w:hint="cs"/>
          <w:rtl/>
        </w:rPr>
        <w:t xml:space="preserve">إن الجمعية العالمية لتقييس الاتصالات </w:t>
      </w:r>
      <w:r w:rsidRPr="00410333">
        <w:rPr>
          <w:rFonts w:hint="cs"/>
          <w:rtl/>
          <w:lang w:bidi="ar-EG"/>
        </w:rPr>
        <w:t xml:space="preserve">(الحمامات، </w:t>
      </w:r>
      <w:r w:rsidRPr="00410333">
        <w:rPr>
          <w:lang w:bidi="ar-EG"/>
        </w:rPr>
        <w:t>2016</w:t>
      </w:r>
      <w:r w:rsidRPr="00410333">
        <w:rPr>
          <w:rFonts w:hint="cs"/>
          <w:rtl/>
          <w:lang w:bidi="ar-EG"/>
        </w:rPr>
        <w:t>)</w:t>
      </w:r>
      <w:r w:rsidRPr="00410333">
        <w:rPr>
          <w:rFonts w:hint="cs"/>
          <w:rtl/>
        </w:rPr>
        <w:t>،</w:t>
      </w:r>
    </w:p>
    <w:p w14:paraId="23667707" w14:textId="77777777" w:rsidR="00031E70" w:rsidRPr="00744CA4" w:rsidRDefault="00A02E2C" w:rsidP="00EF325D">
      <w:pPr>
        <w:pStyle w:val="Reasons"/>
        <w:tabs>
          <w:tab w:val="clear" w:pos="794"/>
          <w:tab w:val="clear" w:pos="1191"/>
          <w:tab w:val="clear" w:pos="1588"/>
          <w:tab w:val="clear" w:pos="1985"/>
          <w:tab w:val="left" w:pos="1134"/>
        </w:tabs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08767D" w:rsidRPr="00796DCD">
        <w:rPr>
          <w:rFonts w:hint="cs"/>
          <w:b w:val="0"/>
          <w:bCs w:val="0"/>
          <w:spacing w:val="-2"/>
          <w:rtl/>
        </w:rPr>
        <w:t>ينص</w:t>
      </w:r>
      <w:r w:rsidR="00031E70" w:rsidRPr="00796DCD">
        <w:rPr>
          <w:rFonts w:hint="cs"/>
          <w:b w:val="0"/>
          <w:bCs w:val="0"/>
          <w:spacing w:val="-2"/>
          <w:rtl/>
        </w:rPr>
        <w:t xml:space="preserve"> القرار 22 (المراجَع في الحمامات، 2016) </w:t>
      </w:r>
      <w:r w:rsidR="0008767D" w:rsidRPr="00796DCD">
        <w:rPr>
          <w:rFonts w:hint="cs"/>
          <w:b w:val="0"/>
          <w:bCs w:val="0"/>
          <w:spacing w:val="-2"/>
          <w:rtl/>
        </w:rPr>
        <w:t>على</w:t>
      </w:r>
      <w:r w:rsidR="00031E70" w:rsidRPr="00796DCD">
        <w:rPr>
          <w:rFonts w:hint="cs"/>
          <w:b w:val="0"/>
          <w:bCs w:val="0"/>
          <w:spacing w:val="-2"/>
          <w:rtl/>
        </w:rPr>
        <w:t xml:space="preserve"> </w:t>
      </w:r>
      <w:r w:rsidR="00031E70" w:rsidRPr="00796DCD">
        <w:rPr>
          <w:rFonts w:hint="eastAsia"/>
          <w:b w:val="0"/>
          <w:bCs w:val="0"/>
          <w:spacing w:val="-2"/>
          <w:rtl/>
        </w:rPr>
        <w:t>تفويض</w:t>
      </w:r>
      <w:r w:rsidR="00031E70" w:rsidRPr="00796DCD">
        <w:rPr>
          <w:b w:val="0"/>
          <w:bCs w:val="0"/>
          <w:spacing w:val="-2"/>
          <w:rtl/>
        </w:rPr>
        <w:t xml:space="preserve"> </w:t>
      </w:r>
      <w:r w:rsidR="00031E70" w:rsidRPr="00796DCD">
        <w:rPr>
          <w:rFonts w:hint="eastAsia"/>
          <w:b w:val="0"/>
          <w:bCs w:val="0"/>
          <w:spacing w:val="-2"/>
          <w:rtl/>
        </w:rPr>
        <w:t>الفريق</w:t>
      </w:r>
      <w:r w:rsidR="00031E70" w:rsidRPr="00796DCD">
        <w:rPr>
          <w:b w:val="0"/>
          <w:bCs w:val="0"/>
          <w:spacing w:val="-2"/>
          <w:rtl/>
        </w:rPr>
        <w:t xml:space="preserve"> </w:t>
      </w:r>
      <w:r w:rsidR="00031E70" w:rsidRPr="00796DCD">
        <w:rPr>
          <w:rFonts w:hint="eastAsia"/>
          <w:b w:val="0"/>
          <w:bCs w:val="0"/>
          <w:spacing w:val="-2"/>
          <w:rtl/>
        </w:rPr>
        <w:t>الاستشاري</w:t>
      </w:r>
      <w:r w:rsidR="00031E70" w:rsidRPr="00796DCD">
        <w:rPr>
          <w:b w:val="0"/>
          <w:bCs w:val="0"/>
          <w:spacing w:val="-2"/>
          <w:rtl/>
        </w:rPr>
        <w:t xml:space="preserve"> </w:t>
      </w:r>
      <w:r w:rsidR="00031E70" w:rsidRPr="00796DCD">
        <w:rPr>
          <w:rFonts w:hint="eastAsia"/>
          <w:b w:val="0"/>
          <w:bCs w:val="0"/>
          <w:spacing w:val="-2"/>
          <w:rtl/>
        </w:rPr>
        <w:t>لتقييس</w:t>
      </w:r>
      <w:r w:rsidR="00031E70" w:rsidRPr="00796DCD">
        <w:rPr>
          <w:b w:val="0"/>
          <w:bCs w:val="0"/>
          <w:spacing w:val="-2"/>
          <w:rtl/>
        </w:rPr>
        <w:t xml:space="preserve"> </w:t>
      </w:r>
      <w:r w:rsidR="00031E70" w:rsidRPr="00796DCD">
        <w:rPr>
          <w:rFonts w:hint="eastAsia"/>
          <w:b w:val="0"/>
          <w:bCs w:val="0"/>
          <w:spacing w:val="-2"/>
          <w:rtl/>
        </w:rPr>
        <w:t>الاتصالات</w:t>
      </w:r>
      <w:r w:rsidR="0008767D" w:rsidRPr="00796DCD">
        <w:rPr>
          <w:rFonts w:hint="cs"/>
          <w:b w:val="0"/>
          <w:bCs w:val="0"/>
          <w:spacing w:val="-2"/>
          <w:rtl/>
        </w:rPr>
        <w:t xml:space="preserve"> </w:t>
      </w:r>
      <w:r w:rsidR="0008767D" w:rsidRPr="00796DCD">
        <w:rPr>
          <w:b w:val="0"/>
          <w:bCs w:val="0"/>
          <w:spacing w:val="-2"/>
        </w:rPr>
        <w:t>(TSAG)</w:t>
      </w:r>
      <w:r w:rsidR="00031E70" w:rsidRPr="00796DCD">
        <w:rPr>
          <w:rFonts w:hint="cs"/>
          <w:b w:val="0"/>
          <w:bCs w:val="0"/>
          <w:spacing w:val="-2"/>
          <w:rtl/>
        </w:rPr>
        <w:t xml:space="preserve"> </w:t>
      </w:r>
      <w:r w:rsidR="0008767D" w:rsidRPr="00796DCD">
        <w:rPr>
          <w:rFonts w:hint="cs"/>
          <w:b w:val="0"/>
          <w:bCs w:val="0"/>
          <w:spacing w:val="-2"/>
          <w:rtl/>
        </w:rPr>
        <w:t xml:space="preserve">بالاتحاد </w:t>
      </w:r>
      <w:r w:rsidR="00031E70" w:rsidRPr="00796DCD">
        <w:rPr>
          <w:rFonts w:hint="eastAsia"/>
          <w:b w:val="0"/>
          <w:bCs w:val="0"/>
          <w:spacing w:val="-2"/>
          <w:rtl/>
        </w:rPr>
        <w:t>بالتصرف</w:t>
      </w:r>
      <w:r w:rsidR="00031E70" w:rsidRPr="00796DCD">
        <w:rPr>
          <w:b w:val="0"/>
          <w:bCs w:val="0"/>
          <w:spacing w:val="-2"/>
          <w:rtl/>
        </w:rPr>
        <w:t xml:space="preserve"> </w:t>
      </w:r>
      <w:r w:rsidR="00031E70" w:rsidRPr="00796DCD">
        <w:rPr>
          <w:rFonts w:hint="eastAsia"/>
          <w:b w:val="0"/>
          <w:bCs w:val="0"/>
          <w:spacing w:val="-2"/>
          <w:rtl/>
        </w:rPr>
        <w:t>بين</w:t>
      </w:r>
      <w:r w:rsidR="00031E70" w:rsidRPr="00796DCD">
        <w:rPr>
          <w:b w:val="0"/>
          <w:bCs w:val="0"/>
          <w:spacing w:val="-2"/>
          <w:rtl/>
        </w:rPr>
        <w:t xml:space="preserve"> </w:t>
      </w:r>
      <w:r w:rsidR="00031E70" w:rsidRPr="00796DCD">
        <w:rPr>
          <w:rFonts w:hint="eastAsia"/>
          <w:b w:val="0"/>
          <w:bCs w:val="0"/>
          <w:spacing w:val="-2"/>
          <w:rtl/>
        </w:rPr>
        <w:t>دورات</w:t>
      </w:r>
      <w:r w:rsidR="00031E70" w:rsidRPr="00796DCD">
        <w:rPr>
          <w:b w:val="0"/>
          <w:bCs w:val="0"/>
          <w:spacing w:val="-2"/>
          <w:rtl/>
        </w:rPr>
        <w:t xml:space="preserve"> </w:t>
      </w:r>
      <w:r w:rsidR="00031E70" w:rsidRPr="00796DCD">
        <w:rPr>
          <w:rFonts w:hint="eastAsia"/>
          <w:b w:val="0"/>
          <w:bCs w:val="0"/>
          <w:spacing w:val="-2"/>
          <w:rtl/>
        </w:rPr>
        <w:t>انعقاد</w:t>
      </w:r>
      <w:r w:rsidR="00031E70" w:rsidRPr="00796DCD">
        <w:rPr>
          <w:b w:val="0"/>
          <w:bCs w:val="0"/>
          <w:spacing w:val="-2"/>
          <w:rtl/>
        </w:rPr>
        <w:t xml:space="preserve"> </w:t>
      </w:r>
      <w:r w:rsidR="00031E70" w:rsidRPr="00796DCD">
        <w:rPr>
          <w:rFonts w:hint="eastAsia"/>
          <w:b w:val="0"/>
          <w:bCs w:val="0"/>
          <w:spacing w:val="-2"/>
          <w:rtl/>
        </w:rPr>
        <w:t>الجمعية</w:t>
      </w:r>
      <w:r w:rsidR="00031E70" w:rsidRPr="00796DCD">
        <w:rPr>
          <w:b w:val="0"/>
          <w:bCs w:val="0"/>
          <w:spacing w:val="-2"/>
          <w:rtl/>
        </w:rPr>
        <w:t xml:space="preserve"> </w:t>
      </w:r>
      <w:r w:rsidR="00031E70" w:rsidRPr="00796DCD">
        <w:rPr>
          <w:rFonts w:hint="eastAsia"/>
          <w:b w:val="0"/>
          <w:bCs w:val="0"/>
          <w:spacing w:val="-2"/>
          <w:rtl/>
        </w:rPr>
        <w:t>العالمية</w:t>
      </w:r>
      <w:r w:rsidR="00031E70" w:rsidRPr="00796DCD">
        <w:rPr>
          <w:b w:val="0"/>
          <w:bCs w:val="0"/>
          <w:spacing w:val="-2"/>
          <w:rtl/>
        </w:rPr>
        <w:t xml:space="preserve"> </w:t>
      </w:r>
      <w:r w:rsidR="00031E70" w:rsidRPr="00796DCD">
        <w:rPr>
          <w:rFonts w:hint="eastAsia"/>
          <w:b w:val="0"/>
          <w:bCs w:val="0"/>
          <w:spacing w:val="-2"/>
          <w:rtl/>
        </w:rPr>
        <w:t>لتقييس</w:t>
      </w:r>
      <w:r w:rsidR="00031E70" w:rsidRPr="00796DCD">
        <w:rPr>
          <w:b w:val="0"/>
          <w:bCs w:val="0"/>
          <w:spacing w:val="-2"/>
          <w:rtl/>
        </w:rPr>
        <w:t xml:space="preserve"> </w:t>
      </w:r>
      <w:r w:rsidR="00031E70" w:rsidRPr="00796DCD">
        <w:rPr>
          <w:rFonts w:hint="eastAsia"/>
          <w:b w:val="0"/>
          <w:bCs w:val="0"/>
          <w:spacing w:val="-2"/>
          <w:rtl/>
        </w:rPr>
        <w:t>الاتصالات</w:t>
      </w:r>
      <w:r w:rsidR="00031E70" w:rsidRPr="00796DCD">
        <w:rPr>
          <w:rFonts w:hint="cs"/>
          <w:b w:val="0"/>
          <w:bCs w:val="0"/>
          <w:spacing w:val="-2"/>
          <w:rtl/>
        </w:rPr>
        <w:t xml:space="preserve">، </w:t>
      </w:r>
      <w:r w:rsidR="0008767D" w:rsidRPr="00796DCD">
        <w:rPr>
          <w:rFonts w:hint="cs"/>
          <w:b w:val="0"/>
          <w:bCs w:val="0"/>
          <w:spacing w:val="-2"/>
          <w:rtl/>
        </w:rPr>
        <w:t>أما</w:t>
      </w:r>
      <w:r w:rsidR="00031E70" w:rsidRPr="00796DCD">
        <w:rPr>
          <w:rFonts w:hint="cs"/>
          <w:b w:val="0"/>
          <w:bCs w:val="0"/>
          <w:spacing w:val="-2"/>
          <w:rtl/>
        </w:rPr>
        <w:t xml:space="preserve"> القرار 45 (المراجَع في الحمامات، 2016) </w:t>
      </w:r>
      <w:r w:rsidR="0008767D" w:rsidRPr="00796DCD">
        <w:rPr>
          <w:rFonts w:hint="cs"/>
          <w:b w:val="0"/>
          <w:bCs w:val="0"/>
          <w:spacing w:val="-2"/>
          <w:rtl/>
        </w:rPr>
        <w:t>فهو يحدد</w:t>
      </w:r>
      <w:r w:rsidR="00031E70" w:rsidRPr="00796DCD">
        <w:rPr>
          <w:rFonts w:hint="cs"/>
          <w:b w:val="0"/>
          <w:bCs w:val="0"/>
          <w:spacing w:val="-2"/>
          <w:rtl/>
        </w:rPr>
        <w:t xml:space="preserve"> </w:t>
      </w:r>
      <w:r w:rsidR="0008767D" w:rsidRPr="00796DCD">
        <w:rPr>
          <w:rFonts w:hint="cs"/>
          <w:b w:val="0"/>
          <w:bCs w:val="0"/>
          <w:spacing w:val="-2"/>
          <w:rtl/>
        </w:rPr>
        <w:t xml:space="preserve">دور الفريق الاستشاري في </w:t>
      </w:r>
      <w:r w:rsidR="00031E70" w:rsidRPr="00796DCD">
        <w:rPr>
          <w:rFonts w:hint="cs"/>
          <w:b w:val="0"/>
          <w:bCs w:val="0"/>
          <w:spacing w:val="-2"/>
          <w:rtl/>
        </w:rPr>
        <w:t>التنسيق الفعّال لأعمال التقييس فيما بين لجان الدراسات في قطاع تقييس الاتصالات</w:t>
      </w:r>
      <w:r w:rsidR="0008767D" w:rsidRPr="00796DCD">
        <w:rPr>
          <w:rFonts w:hint="cs"/>
          <w:b w:val="0"/>
          <w:bCs w:val="0"/>
          <w:spacing w:val="-2"/>
          <w:rtl/>
        </w:rPr>
        <w:t xml:space="preserve"> بالاتحاد.</w:t>
      </w:r>
      <w:r w:rsidR="00B71EB5" w:rsidRPr="00796DCD">
        <w:rPr>
          <w:rFonts w:hint="cs"/>
          <w:b w:val="0"/>
          <w:bCs w:val="0"/>
          <w:spacing w:val="-2"/>
          <w:rtl/>
        </w:rPr>
        <w:t xml:space="preserve"> </w:t>
      </w:r>
      <w:r w:rsidR="0008767D" w:rsidRPr="00796DCD">
        <w:rPr>
          <w:rFonts w:hint="cs"/>
          <w:b w:val="0"/>
          <w:bCs w:val="0"/>
          <w:spacing w:val="-2"/>
          <w:rtl/>
        </w:rPr>
        <w:t>و</w:t>
      </w:r>
      <w:r w:rsidR="00031E70" w:rsidRPr="00796DCD">
        <w:rPr>
          <w:b w:val="0"/>
          <w:bCs w:val="0"/>
          <w:spacing w:val="-2"/>
          <w:rtl/>
        </w:rPr>
        <w:t xml:space="preserve">لا </w:t>
      </w:r>
      <w:r w:rsidR="0008767D" w:rsidRPr="00796DCD">
        <w:rPr>
          <w:rFonts w:hint="cs"/>
          <w:b w:val="0"/>
          <w:bCs w:val="0"/>
          <w:spacing w:val="-2"/>
          <w:rtl/>
        </w:rPr>
        <w:t>يوجد</w:t>
      </w:r>
      <w:r w:rsidR="00031E70" w:rsidRPr="00796DCD">
        <w:rPr>
          <w:b w:val="0"/>
          <w:bCs w:val="0"/>
          <w:spacing w:val="-2"/>
          <w:rtl/>
        </w:rPr>
        <w:t xml:space="preserve"> </w:t>
      </w:r>
      <w:r w:rsidR="0008767D" w:rsidRPr="00796DCD">
        <w:rPr>
          <w:rFonts w:hint="cs"/>
          <w:b w:val="0"/>
          <w:bCs w:val="0"/>
          <w:spacing w:val="-2"/>
          <w:rtl/>
        </w:rPr>
        <w:t>غرض واضح</w:t>
      </w:r>
      <w:r w:rsidR="00031E70" w:rsidRPr="00796DCD">
        <w:rPr>
          <w:b w:val="0"/>
          <w:bCs w:val="0"/>
          <w:spacing w:val="-2"/>
          <w:rtl/>
        </w:rPr>
        <w:t xml:space="preserve"> </w:t>
      </w:r>
      <w:r w:rsidR="0008767D" w:rsidRPr="00796DCD">
        <w:rPr>
          <w:rFonts w:hint="cs"/>
          <w:b w:val="0"/>
          <w:bCs w:val="0"/>
          <w:spacing w:val="-2"/>
          <w:rtl/>
        </w:rPr>
        <w:t>يبرر الإبقاء</w:t>
      </w:r>
      <w:r w:rsidR="00031E70" w:rsidRPr="00796DCD">
        <w:rPr>
          <w:b w:val="0"/>
          <w:bCs w:val="0"/>
          <w:spacing w:val="-2"/>
          <w:rtl/>
        </w:rPr>
        <w:t xml:space="preserve"> على القرار 45، إذ إن الأدوار والمسؤوليات المستمرة التي يضطلع بها الفريق الاستشاري لتقييس الاتصالات، بما</w:t>
      </w:r>
      <w:r w:rsidR="00796DCD">
        <w:rPr>
          <w:rFonts w:hint="cs"/>
          <w:b w:val="0"/>
          <w:bCs w:val="0"/>
          <w:spacing w:val="-2"/>
          <w:rtl/>
        </w:rPr>
        <w:t> </w:t>
      </w:r>
      <w:r w:rsidR="00031E70" w:rsidRPr="00796DCD">
        <w:rPr>
          <w:b w:val="0"/>
          <w:bCs w:val="0"/>
          <w:spacing w:val="-2"/>
          <w:rtl/>
        </w:rPr>
        <w:t xml:space="preserve">في ذلك وظيفة التنسيق، محددة في </w:t>
      </w:r>
      <w:r w:rsidR="0008767D" w:rsidRPr="00796DCD">
        <w:rPr>
          <w:rFonts w:hint="cs"/>
          <w:b w:val="0"/>
          <w:bCs w:val="0"/>
          <w:spacing w:val="-2"/>
          <w:rtl/>
        </w:rPr>
        <w:t xml:space="preserve">المادة </w:t>
      </w:r>
      <w:r w:rsidR="0008767D" w:rsidRPr="00796DCD">
        <w:rPr>
          <w:b w:val="0"/>
          <w:bCs w:val="0"/>
          <w:spacing w:val="-2"/>
        </w:rPr>
        <w:t>14A</w:t>
      </w:r>
      <w:r w:rsidR="0008767D" w:rsidRPr="00796DCD">
        <w:rPr>
          <w:rFonts w:hint="cs"/>
          <w:b w:val="0"/>
          <w:bCs w:val="0"/>
          <w:spacing w:val="-2"/>
          <w:rtl/>
        </w:rPr>
        <w:t xml:space="preserve"> </w:t>
      </w:r>
      <w:r w:rsidR="00031E70" w:rsidRPr="00796DCD">
        <w:rPr>
          <w:b w:val="0"/>
          <w:bCs w:val="0"/>
          <w:spacing w:val="-2"/>
          <w:rtl/>
        </w:rPr>
        <w:t>من اتفاقية الاتحاد وفي</w:t>
      </w:r>
      <w:r w:rsidR="00031E70" w:rsidRPr="00796DCD">
        <w:rPr>
          <w:rFonts w:hint="cs"/>
          <w:b w:val="0"/>
          <w:bCs w:val="0"/>
          <w:spacing w:val="-2"/>
          <w:rtl/>
        </w:rPr>
        <w:t> </w:t>
      </w:r>
      <w:r w:rsidR="00031E70" w:rsidRPr="00796DCD">
        <w:rPr>
          <w:b w:val="0"/>
          <w:bCs w:val="0"/>
          <w:spacing w:val="-2"/>
          <w:rtl/>
        </w:rPr>
        <w:t xml:space="preserve">القرارين 1 و22 </w:t>
      </w:r>
      <w:r w:rsidR="0008767D" w:rsidRPr="00796DCD">
        <w:rPr>
          <w:rFonts w:hint="cs"/>
          <w:b w:val="0"/>
          <w:bCs w:val="0"/>
          <w:spacing w:val="-2"/>
          <w:rtl/>
        </w:rPr>
        <w:t>(المراجَعين في الحمامات، 2016).</w:t>
      </w:r>
      <w:r w:rsidR="00B71EB5" w:rsidRPr="00796DCD">
        <w:rPr>
          <w:b w:val="0"/>
          <w:bCs w:val="0"/>
          <w:spacing w:val="-2"/>
          <w:rtl/>
        </w:rPr>
        <w:tab/>
      </w:r>
      <w:r w:rsidR="00B71EB5" w:rsidRPr="00796DCD">
        <w:rPr>
          <w:b w:val="0"/>
          <w:bCs w:val="0"/>
          <w:spacing w:val="-2"/>
          <w:rtl/>
        </w:rPr>
        <w:br/>
      </w:r>
      <w:r w:rsidR="0008767D" w:rsidRPr="00744CA4">
        <w:rPr>
          <w:rFonts w:hint="cs"/>
          <w:b w:val="0"/>
          <w:bCs w:val="0"/>
          <w:rtl/>
        </w:rPr>
        <w:t xml:space="preserve">ونظراً إلى وجود تداخل بين القرارين 22 و45 وأن مؤتمر المندوبين المفوضين لعام 2018 أقر ضرورة تبسيط القرارات، </w:t>
      </w:r>
      <w:r w:rsidR="00744CA4" w:rsidRPr="00744CA4">
        <w:rPr>
          <w:rFonts w:hint="cs"/>
          <w:b w:val="0"/>
          <w:bCs w:val="0"/>
          <w:rtl/>
        </w:rPr>
        <w:t>تقترح لجنة البلدان الأمريكية للاتصالات</w:t>
      </w:r>
      <w:r w:rsidR="00744CA4">
        <w:rPr>
          <w:rFonts w:hint="cs"/>
          <w:b w:val="0"/>
          <w:bCs w:val="0"/>
          <w:rtl/>
        </w:rPr>
        <w:t xml:space="preserve"> إلغاء القرار 45 وتعديل القرار 22 للجمعية (وفقاً للإضافة 25 للوثيقة 39) للتعبير عن دور الفريق الاستشاري</w:t>
      </w:r>
      <w:r w:rsidR="007E66B8">
        <w:rPr>
          <w:rFonts w:hint="cs"/>
          <w:b w:val="0"/>
          <w:bCs w:val="0"/>
          <w:rtl/>
        </w:rPr>
        <w:t xml:space="preserve"> في</w:t>
      </w:r>
      <w:r w:rsidR="007E66B8" w:rsidRPr="00031E70">
        <w:rPr>
          <w:rFonts w:hint="cs"/>
          <w:b w:val="0"/>
          <w:bCs w:val="0"/>
          <w:rtl/>
        </w:rPr>
        <w:t xml:space="preserve"> التنسيق الفعّال لأعمال التقييس فيما بين لجان الدراسات</w:t>
      </w:r>
      <w:r w:rsidR="007E66B8">
        <w:rPr>
          <w:rFonts w:hint="cs"/>
          <w:b w:val="0"/>
          <w:bCs w:val="0"/>
          <w:rtl/>
        </w:rPr>
        <w:t xml:space="preserve"> وفقاً للتكليف المنصوص عليه في القرار 45. </w:t>
      </w:r>
    </w:p>
    <w:p w14:paraId="2CF10CB4" w14:textId="77777777" w:rsidR="00031E70" w:rsidRPr="00031E70" w:rsidRDefault="00031E70" w:rsidP="00031E70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031E70" w:rsidRPr="00031E70">
      <w:headerReference w:type="even" r:id="rId13"/>
      <w:headerReference w:type="default" r:id="rId14"/>
      <w:footerReference w:type="default" r:id="rId15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BEFC1" w14:textId="77777777" w:rsidR="000C4095" w:rsidRDefault="000C4095" w:rsidP="002919E1">
      <w:r>
        <w:separator/>
      </w:r>
    </w:p>
    <w:p w14:paraId="0B39B4E7" w14:textId="77777777" w:rsidR="000C4095" w:rsidRDefault="000C4095" w:rsidP="002919E1"/>
    <w:p w14:paraId="3FDDCA13" w14:textId="77777777" w:rsidR="000C4095" w:rsidRDefault="000C4095" w:rsidP="002919E1"/>
    <w:p w14:paraId="3A9E11AC" w14:textId="77777777" w:rsidR="000C4095" w:rsidRDefault="000C4095"/>
  </w:endnote>
  <w:endnote w:type="continuationSeparator" w:id="0">
    <w:p w14:paraId="17BE268A" w14:textId="77777777" w:rsidR="000C4095" w:rsidRDefault="000C4095" w:rsidP="002919E1">
      <w:r>
        <w:continuationSeparator/>
      </w:r>
    </w:p>
    <w:p w14:paraId="74D93AFF" w14:textId="77777777" w:rsidR="000C4095" w:rsidRDefault="000C4095" w:rsidP="002919E1"/>
    <w:p w14:paraId="4CB931B0" w14:textId="77777777" w:rsidR="000C4095" w:rsidRDefault="000C4095" w:rsidP="002919E1"/>
    <w:p w14:paraId="77B3F9E3" w14:textId="77777777" w:rsidR="000C4095" w:rsidRDefault="000C40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B4381" w14:textId="77777777" w:rsidR="00FC7FD8" w:rsidRPr="00FC7FD8" w:rsidRDefault="00FC7FD8" w:rsidP="00FC7FD8">
    <w:pPr>
      <w:tabs>
        <w:tab w:val="center" w:pos="5103"/>
        <w:tab w:val="right" w:pos="9639"/>
      </w:tabs>
      <w:bidi w:val="0"/>
      <w:spacing w:line="240" w:lineRule="auto"/>
      <w:jc w:val="left"/>
      <w:rPr>
        <w:sz w:val="16"/>
        <w:szCs w:val="16"/>
        <w:lang w:val="fr-FR"/>
      </w:rPr>
    </w:pPr>
    <w:r w:rsidRPr="00FC7FD8">
      <w:rPr>
        <w:sz w:val="16"/>
        <w:szCs w:val="16"/>
        <w:lang w:val="fr-FR"/>
      </w:rPr>
      <w:fldChar w:fldCharType="begin"/>
    </w:r>
    <w:r w:rsidRPr="00FC7FD8">
      <w:rPr>
        <w:sz w:val="16"/>
        <w:szCs w:val="16"/>
        <w:lang w:val="fr-FR"/>
      </w:rPr>
      <w:instrText xml:space="preserve"> FILENAME \p \* MERGEFORMAT </w:instrText>
    </w:r>
    <w:r w:rsidRPr="00FC7FD8">
      <w:rPr>
        <w:sz w:val="16"/>
        <w:szCs w:val="16"/>
        <w:lang w:val="fr-FR"/>
      </w:rPr>
      <w:fldChar w:fldCharType="separate"/>
    </w:r>
    <w:r w:rsidR="00796DCD">
      <w:rPr>
        <w:noProof/>
        <w:sz w:val="16"/>
        <w:szCs w:val="16"/>
        <w:lang w:val="fr-FR"/>
      </w:rPr>
      <w:t>P:\ARA\ITU-T\CONF-T\WTSA20\000\039ADD21A.docx</w:t>
    </w:r>
    <w:r w:rsidRPr="00FC7FD8">
      <w:rPr>
        <w:sz w:val="16"/>
        <w:szCs w:val="16"/>
      </w:rPr>
      <w:fldChar w:fldCharType="end"/>
    </w:r>
    <w:r w:rsidRPr="00A02E2C">
      <w:rPr>
        <w:sz w:val="16"/>
        <w:szCs w:val="16"/>
        <w:lang w:val="fr-CH"/>
      </w:rPr>
      <w:t xml:space="preserve">  </w:t>
    </w:r>
    <w:r w:rsidRPr="00FC7FD8">
      <w:rPr>
        <w:sz w:val="16"/>
        <w:szCs w:val="16"/>
        <w:lang w:val="fr-FR"/>
      </w:rPr>
      <w:t xml:space="preserve"> (</w:t>
    </w:r>
    <w:r w:rsidR="00A02E2C">
      <w:rPr>
        <w:sz w:val="16"/>
        <w:szCs w:val="16"/>
        <w:lang w:val="fr-FR"/>
      </w:rPr>
      <w:t>493254</w:t>
    </w:r>
    <w:r w:rsidRPr="00FC7FD8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154B3" w14:textId="77777777" w:rsidR="000C4095" w:rsidRDefault="000C4095" w:rsidP="002919E1">
      <w:r>
        <w:t>___________________</w:t>
      </w:r>
    </w:p>
  </w:footnote>
  <w:footnote w:type="continuationSeparator" w:id="0">
    <w:p w14:paraId="0F9C1247" w14:textId="77777777" w:rsidR="000C4095" w:rsidRDefault="000C4095" w:rsidP="002919E1">
      <w:r>
        <w:continuationSeparator/>
      </w:r>
    </w:p>
    <w:p w14:paraId="7175EE3B" w14:textId="77777777" w:rsidR="000C4095" w:rsidRDefault="000C4095" w:rsidP="002919E1"/>
    <w:p w14:paraId="54412F5D" w14:textId="77777777" w:rsidR="000C4095" w:rsidRDefault="000C4095" w:rsidP="002919E1"/>
    <w:p w14:paraId="63C2EC35" w14:textId="77777777" w:rsidR="000C4095" w:rsidRDefault="000C40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4B652" w14:textId="77777777" w:rsidR="00281F5F" w:rsidRDefault="00281F5F" w:rsidP="002919E1"/>
  <w:p w14:paraId="46935E1A" w14:textId="77777777" w:rsidR="00281F5F" w:rsidRDefault="00281F5F" w:rsidP="002919E1"/>
  <w:p w14:paraId="1E8DDE05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D58CC" w14:textId="77777777" w:rsidR="00281F5F" w:rsidRPr="0088384B" w:rsidRDefault="00281F5F" w:rsidP="00031E70">
    <w:pPr>
      <w:spacing w:after="240"/>
      <w:jc w:val="center"/>
      <w:rPr>
        <w:rStyle w:val="PageNumber"/>
        <w:rtl/>
        <w:lang w:bidi="ar-EG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031E70">
      <w:rPr>
        <w:rStyle w:val="PageNumber"/>
        <w:rFonts w:hint="cs"/>
        <w:rtl/>
      </w:rPr>
      <w:t>الإضافة 21</w:t>
    </w:r>
    <w:r w:rsidR="00031E70">
      <w:rPr>
        <w:rStyle w:val="PageNumber"/>
        <w:rtl/>
      </w:rPr>
      <w:br/>
    </w:r>
    <w:r w:rsidR="00031E70">
      <w:rPr>
        <w:rStyle w:val="PageNumber"/>
        <w:rFonts w:hint="cs"/>
        <w:rtl/>
      </w:rPr>
      <w:t xml:space="preserve">للوثيقة </w:t>
    </w:r>
    <w:r w:rsidR="00031E70">
      <w:rPr>
        <w:rStyle w:val="PageNumber"/>
      </w:rPr>
      <w:t>39-A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E2F4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04B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967D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402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121F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AC"/>
    <w:rsid w:val="00011021"/>
    <w:rsid w:val="000114EC"/>
    <w:rsid w:val="00011F8C"/>
    <w:rsid w:val="00022B74"/>
    <w:rsid w:val="0002327C"/>
    <w:rsid w:val="00031E70"/>
    <w:rsid w:val="00034B65"/>
    <w:rsid w:val="00040C94"/>
    <w:rsid w:val="000425FC"/>
    <w:rsid w:val="00044D43"/>
    <w:rsid w:val="00051907"/>
    <w:rsid w:val="00075A3F"/>
    <w:rsid w:val="0008767D"/>
    <w:rsid w:val="000A1B16"/>
    <w:rsid w:val="000B3896"/>
    <w:rsid w:val="000B5404"/>
    <w:rsid w:val="000C4095"/>
    <w:rsid w:val="000D1708"/>
    <w:rsid w:val="000E2AFC"/>
    <w:rsid w:val="000E6D30"/>
    <w:rsid w:val="000F05F5"/>
    <w:rsid w:val="000F518F"/>
    <w:rsid w:val="0010081C"/>
    <w:rsid w:val="001013E3"/>
    <w:rsid w:val="0010363F"/>
    <w:rsid w:val="00123AA6"/>
    <w:rsid w:val="0012545F"/>
    <w:rsid w:val="0013540D"/>
    <w:rsid w:val="00136B82"/>
    <w:rsid w:val="001464F2"/>
    <w:rsid w:val="00167364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543CF"/>
    <w:rsid w:val="0026062E"/>
    <w:rsid w:val="00260F50"/>
    <w:rsid w:val="00261EF7"/>
    <w:rsid w:val="00266EA9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84AE2"/>
    <w:rsid w:val="003923B1"/>
    <w:rsid w:val="003965FE"/>
    <w:rsid w:val="00397C17"/>
    <w:rsid w:val="003B27AD"/>
    <w:rsid w:val="003B4F23"/>
    <w:rsid w:val="003C12F6"/>
    <w:rsid w:val="003C3A13"/>
    <w:rsid w:val="003E02EF"/>
    <w:rsid w:val="003E1D90"/>
    <w:rsid w:val="00400CD4"/>
    <w:rsid w:val="004037A8"/>
    <w:rsid w:val="004147B9"/>
    <w:rsid w:val="00422C04"/>
    <w:rsid w:val="00423A40"/>
    <w:rsid w:val="00426144"/>
    <w:rsid w:val="004636E2"/>
    <w:rsid w:val="00467899"/>
    <w:rsid w:val="00470CBD"/>
    <w:rsid w:val="0047407D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505FCA"/>
    <w:rsid w:val="00510C2D"/>
    <w:rsid w:val="005166A4"/>
    <w:rsid w:val="005169F4"/>
    <w:rsid w:val="005210D1"/>
    <w:rsid w:val="00523146"/>
    <w:rsid w:val="00523275"/>
    <w:rsid w:val="00523D37"/>
    <w:rsid w:val="00531DC7"/>
    <w:rsid w:val="005350B0"/>
    <w:rsid w:val="005431B5"/>
    <w:rsid w:val="00546A99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F70BF"/>
    <w:rsid w:val="00716B1D"/>
    <w:rsid w:val="007248EC"/>
    <w:rsid w:val="007263B4"/>
    <w:rsid w:val="00726744"/>
    <w:rsid w:val="00731150"/>
    <w:rsid w:val="00734E41"/>
    <w:rsid w:val="00736DCC"/>
    <w:rsid w:val="00741855"/>
    <w:rsid w:val="00742B73"/>
    <w:rsid w:val="00744CA4"/>
    <w:rsid w:val="00751251"/>
    <w:rsid w:val="007610E7"/>
    <w:rsid w:val="00764079"/>
    <w:rsid w:val="00770AA0"/>
    <w:rsid w:val="007710F5"/>
    <w:rsid w:val="00771F7E"/>
    <w:rsid w:val="00773E9C"/>
    <w:rsid w:val="00776F6B"/>
    <w:rsid w:val="00777694"/>
    <w:rsid w:val="00786A7E"/>
    <w:rsid w:val="00790154"/>
    <w:rsid w:val="00796DCD"/>
    <w:rsid w:val="007A0802"/>
    <w:rsid w:val="007A3A06"/>
    <w:rsid w:val="007B1FCA"/>
    <w:rsid w:val="007C2C12"/>
    <w:rsid w:val="007C3CFA"/>
    <w:rsid w:val="007E0E8B"/>
    <w:rsid w:val="007E66B8"/>
    <w:rsid w:val="007E6847"/>
    <w:rsid w:val="007E6B0A"/>
    <w:rsid w:val="007F08CA"/>
    <w:rsid w:val="007F6388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14B8"/>
    <w:rsid w:val="008657CB"/>
    <w:rsid w:val="00873A6F"/>
    <w:rsid w:val="0088384B"/>
    <w:rsid w:val="00884282"/>
    <w:rsid w:val="00893E53"/>
    <w:rsid w:val="008A1137"/>
    <w:rsid w:val="008A1788"/>
    <w:rsid w:val="008A1E64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F4626"/>
    <w:rsid w:val="009004DF"/>
    <w:rsid w:val="009031BA"/>
    <w:rsid w:val="00904AA5"/>
    <w:rsid w:val="00951718"/>
    <w:rsid w:val="00960962"/>
    <w:rsid w:val="00972CE0"/>
    <w:rsid w:val="00996DD9"/>
    <w:rsid w:val="009A3D30"/>
    <w:rsid w:val="009C13BE"/>
    <w:rsid w:val="009D6348"/>
    <w:rsid w:val="009E5007"/>
    <w:rsid w:val="009E613F"/>
    <w:rsid w:val="009F042B"/>
    <w:rsid w:val="00A02E2C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2ADC"/>
    <w:rsid w:val="00A66D2B"/>
    <w:rsid w:val="00A809E8"/>
    <w:rsid w:val="00A870AD"/>
    <w:rsid w:val="00A90843"/>
    <w:rsid w:val="00A9645C"/>
    <w:rsid w:val="00AA6493"/>
    <w:rsid w:val="00AA6EF1"/>
    <w:rsid w:val="00AB2A33"/>
    <w:rsid w:val="00AC1275"/>
    <w:rsid w:val="00AC7395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21AC6"/>
    <w:rsid w:val="00B357E9"/>
    <w:rsid w:val="00B4164D"/>
    <w:rsid w:val="00B425C1"/>
    <w:rsid w:val="00B606BA"/>
    <w:rsid w:val="00B62038"/>
    <w:rsid w:val="00B63EAC"/>
    <w:rsid w:val="00B66817"/>
    <w:rsid w:val="00B71E3B"/>
    <w:rsid w:val="00B71EB5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4E09"/>
    <w:rsid w:val="00C353A9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2843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E7387"/>
    <w:rsid w:val="00DF2A6A"/>
    <w:rsid w:val="00DF3B72"/>
    <w:rsid w:val="00E10821"/>
    <w:rsid w:val="00E2489D"/>
    <w:rsid w:val="00E26520"/>
    <w:rsid w:val="00E343A3"/>
    <w:rsid w:val="00E51BFA"/>
    <w:rsid w:val="00E621A3"/>
    <w:rsid w:val="00E833BC"/>
    <w:rsid w:val="00E8580E"/>
    <w:rsid w:val="00E97E21"/>
    <w:rsid w:val="00EA1B76"/>
    <w:rsid w:val="00EA77D7"/>
    <w:rsid w:val="00EC09B9"/>
    <w:rsid w:val="00ED048C"/>
    <w:rsid w:val="00EE60E9"/>
    <w:rsid w:val="00EF325D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30AE"/>
    <w:rsid w:val="00F25B80"/>
    <w:rsid w:val="00F2685F"/>
    <w:rsid w:val="00F33A34"/>
    <w:rsid w:val="00F350C8"/>
    <w:rsid w:val="00F84613"/>
    <w:rsid w:val="00F8654D"/>
    <w:rsid w:val="00F900C9"/>
    <w:rsid w:val="00F92C96"/>
    <w:rsid w:val="00F93564"/>
    <w:rsid w:val="00F97D1C"/>
    <w:rsid w:val="00FA0D4E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7841D5A"/>
  <w15:docId w15:val="{396629E4-DEB8-4B73-90EB-1BFD7A31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character" w:customStyle="1" w:styleId="href">
    <w:name w:val="href"/>
    <w:basedOn w:val="DefaultParagraphFont"/>
    <w:rsid w:val="00436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T17-WTSA.20-C-0039!A21!MSW-A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FEF8E3-A900-4DA9-A101-10E3878805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C03063-3009-4924-8275-D8F3F38E68B3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C4AD535C-D106-4754-84A5-149AAA091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T17-WTSA.20-C-0039!A21!MSW-A</vt:lpstr>
    </vt:vector>
  </TitlesOfParts>
  <Manager>General Secretariat - Pool</Manager>
  <Company>International Telecommunication Union (ITU)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T17-WTSA.20-C-0039!A21!MSW-A</dc:title>
  <dc:creator>Documents Proposals Manager (DPM)</dc:creator>
  <cp:keywords>DPM_v2021.3.2.1_prod</cp:keywords>
  <cp:lastModifiedBy>Arabic</cp:lastModifiedBy>
  <cp:revision>4</cp:revision>
  <cp:lastPrinted>2019-06-26T10:10:00Z</cp:lastPrinted>
  <dcterms:created xsi:type="dcterms:W3CDTF">2021-09-30T07:52:00Z</dcterms:created>
  <dcterms:modified xsi:type="dcterms:W3CDTF">2021-10-01T16:15:00Z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