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CA7A0F" w14:paraId="581041E8" w14:textId="77777777" w:rsidTr="009B0563">
        <w:trPr>
          <w:cantSplit/>
        </w:trPr>
        <w:tc>
          <w:tcPr>
            <w:tcW w:w="6613" w:type="dxa"/>
            <w:vAlign w:val="center"/>
          </w:tcPr>
          <w:p w14:paraId="37A9A829" w14:textId="77777777" w:rsidR="009B0563" w:rsidRPr="00CA7A0F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CA7A0F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02A505C3" w14:textId="72131F71" w:rsidR="009B0563" w:rsidRPr="00CA7A0F" w:rsidRDefault="00374F69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374F6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CA7A0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CA7A0F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CA7A0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CA7A0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CA7A0F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CA7A0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CA7A0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0FDACDA7" w14:textId="77777777" w:rsidR="009B0563" w:rsidRPr="00CA7A0F" w:rsidRDefault="009B0563" w:rsidP="009B0563">
            <w:pPr>
              <w:spacing w:before="0"/>
            </w:pPr>
            <w:r w:rsidRPr="00CA7A0F">
              <w:rPr>
                <w:noProof/>
                <w:lang w:eastAsia="zh-CN"/>
              </w:rPr>
              <w:drawing>
                <wp:inline distT="0" distB="0" distL="0" distR="0" wp14:anchorId="51F77308" wp14:editId="1D04DEC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CA7A0F" w14:paraId="621CD7B4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02BD41A5" w14:textId="77777777" w:rsidR="00F0220A" w:rsidRPr="00CA7A0F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318BFAAF" w14:textId="77777777" w:rsidR="00F0220A" w:rsidRPr="00CA7A0F" w:rsidRDefault="00F0220A" w:rsidP="004B520A">
            <w:pPr>
              <w:spacing w:before="0"/>
            </w:pPr>
          </w:p>
        </w:tc>
      </w:tr>
      <w:tr w:rsidR="005A374D" w:rsidRPr="00CA7A0F" w14:paraId="453A2DFF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078BF3DA" w14:textId="77777777" w:rsidR="005A374D" w:rsidRPr="00CA7A0F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1F16B569" w14:textId="77777777" w:rsidR="005A374D" w:rsidRPr="00CA7A0F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CA7A0F" w14:paraId="39EA6F9C" w14:textId="77777777" w:rsidTr="004B520A">
        <w:trPr>
          <w:cantSplit/>
        </w:trPr>
        <w:tc>
          <w:tcPr>
            <w:tcW w:w="6613" w:type="dxa"/>
          </w:tcPr>
          <w:p w14:paraId="640379F5" w14:textId="77777777" w:rsidR="00E83D45" w:rsidRPr="00CA7A0F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CA7A0F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746AA28A" w14:textId="77777777" w:rsidR="00E83D45" w:rsidRPr="00CA7A0F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CA7A0F">
              <w:rPr>
                <w:lang w:val="es-ES_tradnl"/>
              </w:rPr>
              <w:t>Addéndum 17 al</w:t>
            </w:r>
            <w:r w:rsidRPr="00CA7A0F">
              <w:rPr>
                <w:lang w:val="es-ES_tradnl"/>
              </w:rPr>
              <w:br/>
              <w:t>Documento 39-S</w:t>
            </w:r>
          </w:p>
        </w:tc>
      </w:tr>
      <w:tr w:rsidR="00E83D45" w:rsidRPr="00CA7A0F" w14:paraId="470E1C42" w14:textId="77777777" w:rsidTr="004B520A">
        <w:trPr>
          <w:cantSplit/>
        </w:trPr>
        <w:tc>
          <w:tcPr>
            <w:tcW w:w="6613" w:type="dxa"/>
          </w:tcPr>
          <w:p w14:paraId="71C887AA" w14:textId="77777777" w:rsidR="00E83D45" w:rsidRPr="00CA7A0F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3509765A" w14:textId="77777777" w:rsidR="00E83D45" w:rsidRPr="00CA7A0F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A7A0F">
              <w:rPr>
                <w:rFonts w:ascii="Verdana" w:hAnsi="Verdana"/>
                <w:b/>
                <w:sz w:val="20"/>
              </w:rPr>
              <w:t>24 de marzo de 2021</w:t>
            </w:r>
          </w:p>
        </w:tc>
      </w:tr>
      <w:tr w:rsidR="00E83D45" w:rsidRPr="00CA7A0F" w14:paraId="5ED4C894" w14:textId="77777777" w:rsidTr="004B520A">
        <w:trPr>
          <w:cantSplit/>
        </w:trPr>
        <w:tc>
          <w:tcPr>
            <w:tcW w:w="6613" w:type="dxa"/>
          </w:tcPr>
          <w:p w14:paraId="035EE759" w14:textId="77777777" w:rsidR="00E83D45" w:rsidRPr="00CA7A0F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6ADDECDD" w14:textId="77777777" w:rsidR="00E83D45" w:rsidRPr="00CA7A0F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A7A0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CA7A0F" w14:paraId="70C88626" w14:textId="77777777" w:rsidTr="004B520A">
        <w:trPr>
          <w:cantSplit/>
        </w:trPr>
        <w:tc>
          <w:tcPr>
            <w:tcW w:w="9811" w:type="dxa"/>
            <w:gridSpan w:val="2"/>
          </w:tcPr>
          <w:p w14:paraId="241FBDFE" w14:textId="77777777" w:rsidR="00681766" w:rsidRPr="00CA7A0F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CA7A0F" w14:paraId="45F9E8A2" w14:textId="77777777" w:rsidTr="004B520A">
        <w:trPr>
          <w:cantSplit/>
        </w:trPr>
        <w:tc>
          <w:tcPr>
            <w:tcW w:w="9811" w:type="dxa"/>
            <w:gridSpan w:val="2"/>
          </w:tcPr>
          <w:p w14:paraId="57CF4794" w14:textId="77777777" w:rsidR="00E83D45" w:rsidRPr="00CA7A0F" w:rsidRDefault="00E83D45" w:rsidP="004B520A">
            <w:pPr>
              <w:pStyle w:val="Source"/>
            </w:pPr>
            <w:r w:rsidRPr="00CA7A0F">
              <w:t>Estados Miembros de la Comisión Interamericana de Telecomunicaciones (CITEL)</w:t>
            </w:r>
          </w:p>
        </w:tc>
      </w:tr>
      <w:tr w:rsidR="00E83D45" w:rsidRPr="00CA7A0F" w14:paraId="04F9F36F" w14:textId="77777777" w:rsidTr="004B520A">
        <w:trPr>
          <w:cantSplit/>
        </w:trPr>
        <w:tc>
          <w:tcPr>
            <w:tcW w:w="9811" w:type="dxa"/>
            <w:gridSpan w:val="2"/>
          </w:tcPr>
          <w:p w14:paraId="1F5E6FF6" w14:textId="616FD77C" w:rsidR="00E83D45" w:rsidRPr="00CA7A0F" w:rsidRDefault="00B83869" w:rsidP="004B520A">
            <w:pPr>
              <w:pStyle w:val="Title1"/>
            </w:pPr>
            <w:r w:rsidRPr="00CA7A0F">
              <w:t xml:space="preserve">PROPUESTA DE NUEVA RESOLUCIÓN </w:t>
            </w:r>
            <w:r w:rsidR="00E83D45" w:rsidRPr="00CA7A0F">
              <w:t xml:space="preserve">[IAP-2] </w:t>
            </w:r>
            <w:r w:rsidRPr="00CA7A0F">
              <w:t>–</w:t>
            </w:r>
            <w:r w:rsidR="00E83D45" w:rsidRPr="00CA7A0F">
              <w:t xml:space="preserve"> </w:t>
            </w:r>
            <w:r w:rsidRPr="00CA7A0F">
              <w:t>importancia de la participación del sector privado en los trabajos del SECTOR DE NORMALIZACIÓN DE LAS TELECOMUNICACIONES DE LA uit</w:t>
            </w:r>
          </w:p>
        </w:tc>
      </w:tr>
      <w:tr w:rsidR="00E83D45" w:rsidRPr="00CA7A0F" w14:paraId="0A9CF2BB" w14:textId="77777777" w:rsidTr="004B520A">
        <w:trPr>
          <w:cantSplit/>
        </w:trPr>
        <w:tc>
          <w:tcPr>
            <w:tcW w:w="9811" w:type="dxa"/>
            <w:gridSpan w:val="2"/>
          </w:tcPr>
          <w:p w14:paraId="03FC8C3F" w14:textId="77777777" w:rsidR="00E83D45" w:rsidRPr="00CA7A0F" w:rsidRDefault="00E83D45" w:rsidP="004B520A">
            <w:pPr>
              <w:pStyle w:val="Title2"/>
            </w:pPr>
          </w:p>
        </w:tc>
      </w:tr>
      <w:tr w:rsidR="00E83D45" w:rsidRPr="00CA7A0F" w14:paraId="44B236CB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421898FF" w14:textId="77777777" w:rsidR="00E83D45" w:rsidRPr="00CA7A0F" w:rsidRDefault="00E83D45" w:rsidP="004B520A">
            <w:pPr>
              <w:pStyle w:val="Agendaitem"/>
            </w:pPr>
          </w:p>
        </w:tc>
      </w:tr>
    </w:tbl>
    <w:p w14:paraId="03ECE084" w14:textId="77777777" w:rsidR="006B0F54" w:rsidRPr="00CA7A0F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CA7A0F" w14:paraId="11040538" w14:textId="77777777" w:rsidTr="00193AD1">
        <w:trPr>
          <w:cantSplit/>
        </w:trPr>
        <w:tc>
          <w:tcPr>
            <w:tcW w:w="1560" w:type="dxa"/>
          </w:tcPr>
          <w:p w14:paraId="316DE878" w14:textId="77777777" w:rsidR="006B0F54" w:rsidRPr="00CA7A0F" w:rsidRDefault="006B0F54" w:rsidP="00193AD1">
            <w:r w:rsidRPr="00CA7A0F">
              <w:rPr>
                <w:b/>
                <w:bCs/>
              </w:rPr>
              <w:t>Resumen:</w:t>
            </w:r>
          </w:p>
        </w:tc>
        <w:tc>
          <w:tcPr>
            <w:tcW w:w="8251" w:type="dxa"/>
          </w:tcPr>
          <w:p w14:paraId="607C0621" w14:textId="5CB7047F" w:rsidR="006B0F54" w:rsidRPr="00CA7A0F" w:rsidRDefault="00B83869" w:rsidP="00CA1F40">
            <w:pPr>
              <w:rPr>
                <w:color w:val="000000" w:themeColor="text1"/>
              </w:rPr>
            </w:pPr>
            <w:r w:rsidRPr="00CA7A0F">
              <w:rPr>
                <w:color w:val="000000" w:themeColor="text1"/>
              </w:rPr>
              <w:t>La CITEL propone un proyecto de nueva Resolución en el que se destaca que la labor del UIT-T adquiere mayor relevancia cuando la industria, en asociación con los gobiernos, participan plenamente</w:t>
            </w:r>
            <w:r w:rsidR="001B352C" w:rsidRPr="00CA7A0F">
              <w:rPr>
                <w:color w:val="000000" w:themeColor="text1"/>
              </w:rPr>
              <w:t>.</w:t>
            </w:r>
          </w:p>
        </w:tc>
      </w:tr>
    </w:tbl>
    <w:p w14:paraId="4E5DC385" w14:textId="5BE6BB41" w:rsidR="00B83869" w:rsidRPr="00CA7A0F" w:rsidRDefault="002E4464" w:rsidP="00B83869">
      <w:pPr>
        <w:pStyle w:val="Headingb"/>
      </w:pPr>
      <w:r w:rsidRPr="00CA7A0F">
        <w:t>Introducción</w:t>
      </w:r>
    </w:p>
    <w:p w14:paraId="3394E331" w14:textId="0A948B31" w:rsidR="002E4464" w:rsidRPr="00CA7A0F" w:rsidRDefault="002E4464" w:rsidP="002E4464">
      <w:r w:rsidRPr="00CA7A0F">
        <w:t xml:space="preserve">La CITEL propone un proyecto de nueva Resolución sobre la importancia de la participación del sector privado en los trabajos del UIT-T, que pone de manifiesto la contribución del sector privado al fortalecimiento </w:t>
      </w:r>
      <w:r w:rsidR="001B352C" w:rsidRPr="00CA7A0F">
        <w:t>d</w:t>
      </w:r>
      <w:r w:rsidRPr="00CA7A0F">
        <w:t>el Sector en su condición de actor fundamental en el ecosistema mundial de normalización. El alcance y la amplitud de la contribución de la industria pueden cuantificarse en parte en función de su participación en los trabajos de las Comisiones de Estudio del UIT-T y de otros grupos, y en el número de contribuciones sustantivas a los trabajos del Sector.</w:t>
      </w:r>
    </w:p>
    <w:p w14:paraId="71DC9887" w14:textId="453E1608" w:rsidR="002E4464" w:rsidRPr="00CA7A0F" w:rsidRDefault="002E4464" w:rsidP="002E4464">
      <w:r w:rsidRPr="00CA7A0F">
        <w:t>Sin embargo, la fortaleza del UIT-T radica en las numerosas alianzas constructivas entre el sector privado y los Estados Miembros, sin las cuales la importante labor del Sector no podría progresar. La Resolución propuesta no pretende socavar es</w:t>
      </w:r>
      <w:r w:rsidR="003B09F8" w:rsidRPr="00CA7A0F">
        <w:t>as alianzas</w:t>
      </w:r>
      <w:r w:rsidRPr="00CA7A0F">
        <w:t xml:space="preserve">, sino garantizar que los Estados Miembros y </w:t>
      </w:r>
      <w:r w:rsidR="003B09F8" w:rsidRPr="00CA7A0F">
        <w:t xml:space="preserve">el sector privado </w:t>
      </w:r>
      <w:r w:rsidRPr="00CA7A0F">
        <w:t xml:space="preserve">puedan seguir colaborando, tanto en cuestiones técnicas como </w:t>
      </w:r>
      <w:r w:rsidR="003B09F8" w:rsidRPr="00CA7A0F">
        <w:t xml:space="preserve">de </w:t>
      </w:r>
      <w:r w:rsidR="00D84446" w:rsidRPr="00CA7A0F">
        <w:t>reglamentación</w:t>
      </w:r>
      <w:r w:rsidRPr="00CA7A0F">
        <w:t xml:space="preserve">, para </w:t>
      </w:r>
      <w:r w:rsidR="003B09F8" w:rsidRPr="00CA7A0F">
        <w:t xml:space="preserve">estrechar </w:t>
      </w:r>
      <w:r w:rsidRPr="00CA7A0F">
        <w:t xml:space="preserve">aún más esta relación mediante el reconocimiento de las funciones y contribuciones que cada uno puede aportar </w:t>
      </w:r>
      <w:r w:rsidR="003B09F8" w:rsidRPr="00CA7A0F">
        <w:t xml:space="preserve">en pro de </w:t>
      </w:r>
      <w:r w:rsidRPr="00CA7A0F">
        <w:t xml:space="preserve">la </w:t>
      </w:r>
      <w:r w:rsidR="003B09F8" w:rsidRPr="00CA7A0F">
        <w:t xml:space="preserve">futura </w:t>
      </w:r>
      <w:r w:rsidRPr="00CA7A0F">
        <w:t>sostenibilidad del UIT-T.</w:t>
      </w:r>
    </w:p>
    <w:p w14:paraId="02C3FFD7" w14:textId="6E140E51" w:rsidR="003C76EC" w:rsidRPr="00CA7A0F" w:rsidRDefault="002E4464" w:rsidP="002E4464">
      <w:r w:rsidRPr="00CA7A0F">
        <w:t xml:space="preserve">El proyecto de nueva Resolución propuesto </w:t>
      </w:r>
      <w:r w:rsidR="003B09F8" w:rsidRPr="00CA7A0F">
        <w:t>se somete a</w:t>
      </w:r>
      <w:r w:rsidR="001B352C" w:rsidRPr="00CA7A0F">
        <w:t xml:space="preserve"> </w:t>
      </w:r>
      <w:r w:rsidR="003B09F8" w:rsidRPr="00CA7A0F">
        <w:t xml:space="preserve">la consideración de </w:t>
      </w:r>
      <w:r w:rsidRPr="00CA7A0F">
        <w:t xml:space="preserve">la AMNT </w:t>
      </w:r>
      <w:r w:rsidR="003C76EC" w:rsidRPr="00CA7A0F">
        <w:t xml:space="preserve">en la línea </w:t>
      </w:r>
      <w:r w:rsidRPr="00CA7A0F">
        <w:t xml:space="preserve">de los debates </w:t>
      </w:r>
      <w:r w:rsidR="003B09F8" w:rsidRPr="00CA7A0F">
        <w:t>mantenido</w:t>
      </w:r>
      <w:r w:rsidR="003C76EC" w:rsidRPr="00CA7A0F">
        <w:t>s</w:t>
      </w:r>
      <w:r w:rsidR="003B09F8" w:rsidRPr="00CA7A0F">
        <w:t xml:space="preserve"> </w:t>
      </w:r>
      <w:r w:rsidRPr="00CA7A0F">
        <w:t xml:space="preserve">en el Grupo Asesor de Normalización de las Telecomunicaciones </w:t>
      </w:r>
      <w:r w:rsidR="003B09F8" w:rsidRPr="00CA7A0F">
        <w:t xml:space="preserve">(GANT) </w:t>
      </w:r>
      <w:r w:rsidRPr="00CA7A0F">
        <w:t xml:space="preserve">sobre la </w:t>
      </w:r>
      <w:r w:rsidR="003C76EC" w:rsidRPr="00CA7A0F">
        <w:t xml:space="preserve">imperante </w:t>
      </w:r>
      <w:r w:rsidRPr="00CA7A0F">
        <w:t xml:space="preserve">necesidad de mantener y </w:t>
      </w:r>
      <w:r w:rsidR="003B09F8" w:rsidRPr="00CA7A0F">
        <w:t xml:space="preserve">fomentar la participación del sector privado </w:t>
      </w:r>
      <w:r w:rsidRPr="00CA7A0F">
        <w:t xml:space="preserve">en determinadas actividades del UIT-T. </w:t>
      </w:r>
      <w:r w:rsidR="003C76EC" w:rsidRPr="00CA7A0F">
        <w:t xml:space="preserve">El sector industrial es el que dinamiza y da contenido a los trabajos de varias Comisiones de Estudio del UIT-T, como la Comisión de Estudio 15 sobre transporte, acceso y redes domésticas y la Comisión de Estudio 16 sobre multimedios y actividades </w:t>
      </w:r>
      <w:r w:rsidR="003C76EC" w:rsidRPr="00CA7A0F">
        <w:lastRenderedPageBreak/>
        <w:t>conexas</w:t>
      </w:r>
      <w:r w:rsidRPr="00CA7A0F">
        <w:t xml:space="preserve">. </w:t>
      </w:r>
      <w:r w:rsidR="003C76EC" w:rsidRPr="00CA7A0F">
        <w:t xml:space="preserve">Aunque la UIT se considera una organización principalmente intergubernamental, recientes análisis han demostrado que debe reforzar y promover </w:t>
      </w:r>
      <w:r w:rsidR="00CB43BC" w:rsidRPr="00CA7A0F">
        <w:t>las asociaciones</w:t>
      </w:r>
      <w:r w:rsidR="003C76EC" w:rsidRPr="00CA7A0F">
        <w:t xml:space="preserve"> </w:t>
      </w:r>
      <w:r w:rsidR="00CB43BC" w:rsidRPr="00CA7A0F">
        <w:t xml:space="preserve">entre el </w:t>
      </w:r>
      <w:r w:rsidR="003C76EC" w:rsidRPr="00CA7A0F">
        <w:t xml:space="preserve">sector privado </w:t>
      </w:r>
      <w:r w:rsidR="00CB43BC" w:rsidRPr="00CA7A0F">
        <w:t xml:space="preserve">y gobiernos </w:t>
      </w:r>
      <w:r w:rsidR="003C76EC" w:rsidRPr="00CA7A0F">
        <w:t xml:space="preserve">en su labor de normalización </w:t>
      </w:r>
      <w:r w:rsidR="00CB43BC" w:rsidRPr="00CA7A0F">
        <w:t xml:space="preserve">a escala </w:t>
      </w:r>
      <w:r w:rsidR="003C76EC" w:rsidRPr="00CA7A0F">
        <w:t>mundial</w:t>
      </w:r>
      <w:r w:rsidR="00CB43BC" w:rsidRPr="00CA7A0F">
        <w:t>, consiguiendo así que el UIT-T se beneficie en términos generales de la participación del sector privado en los próximos años</w:t>
      </w:r>
      <w:r w:rsidR="001B352C" w:rsidRPr="00CA7A0F">
        <w:t>.</w:t>
      </w:r>
    </w:p>
    <w:p w14:paraId="2F9302EC" w14:textId="4DDCAD71" w:rsidR="00B83869" w:rsidRPr="00CA7A0F" w:rsidRDefault="00CB43BC" w:rsidP="00B83869">
      <w:pPr>
        <w:pStyle w:val="Headingb"/>
      </w:pPr>
      <w:r w:rsidRPr="00CA7A0F">
        <w:t>Propuesta</w:t>
      </w:r>
    </w:p>
    <w:p w14:paraId="35E3E1D7" w14:textId="71C00D3C" w:rsidR="00B83869" w:rsidRPr="00CA7A0F" w:rsidRDefault="00CB43BC" w:rsidP="00B83869">
      <w:r w:rsidRPr="00CA7A0F">
        <w:t xml:space="preserve">Los Estados Miembros de la </w:t>
      </w:r>
      <w:r w:rsidR="00B83869" w:rsidRPr="00CA7A0F">
        <w:t xml:space="preserve">CITEL </w:t>
      </w:r>
      <w:r w:rsidRPr="00CA7A0F">
        <w:t xml:space="preserve">proponen el proyecto de nueva Resolución adjunto, relativo a la importancia de la participación del sector privado en los trabajos del UIT-T para </w:t>
      </w:r>
      <w:r w:rsidRPr="00CA7A0F">
        <w:rPr>
          <w:color w:val="000000" w:themeColor="text1"/>
        </w:rPr>
        <w:t>que la UIT pueda cumplir su cometido, definido en el Artículo 1 de su Constitución, de favorecer una cooperación y una asociación constructivas entre los Estados Miembros y los Miembros de Sector</w:t>
      </w:r>
      <w:r w:rsidR="00B83869" w:rsidRPr="00CA7A0F">
        <w:t xml:space="preserve">. </w:t>
      </w:r>
      <w:r w:rsidRPr="00CA7A0F">
        <w:t>Reconocer el papel del sector privado en la labor técnica del UIT-T es de suma importancia</w:t>
      </w:r>
      <w:r w:rsidR="00B83869" w:rsidRPr="00CA7A0F">
        <w:t>.</w:t>
      </w:r>
    </w:p>
    <w:p w14:paraId="2851A80D" w14:textId="77777777" w:rsidR="0051705A" w:rsidRPr="00CA7A0F" w:rsidRDefault="0051705A" w:rsidP="00C25B5B"/>
    <w:p w14:paraId="5FA8C56D" w14:textId="77777777" w:rsidR="00B07178" w:rsidRPr="00CA7A0F" w:rsidRDefault="00B07178" w:rsidP="00C25B5B">
      <w:r w:rsidRPr="00CA7A0F">
        <w:br w:type="page"/>
      </w:r>
    </w:p>
    <w:p w14:paraId="68AAC41B" w14:textId="77777777" w:rsidR="00E83D45" w:rsidRPr="00CA7A0F" w:rsidRDefault="00E83D45" w:rsidP="007E5A28"/>
    <w:p w14:paraId="7A323405" w14:textId="77777777" w:rsidR="0024455F" w:rsidRPr="00CA7A0F" w:rsidRDefault="00CB43BC">
      <w:pPr>
        <w:pStyle w:val="Proposal"/>
      </w:pPr>
      <w:r w:rsidRPr="00CA7A0F">
        <w:t>ADD</w:t>
      </w:r>
      <w:r w:rsidRPr="00CA7A0F">
        <w:tab/>
        <w:t>IAP/39A17/1</w:t>
      </w:r>
    </w:p>
    <w:p w14:paraId="73029973" w14:textId="7F058D45" w:rsidR="00E83D45" w:rsidRPr="00CA7A0F" w:rsidRDefault="00CB43BC" w:rsidP="00B83869">
      <w:pPr>
        <w:pStyle w:val="ResNo"/>
      </w:pPr>
      <w:r w:rsidRPr="00CA7A0F">
        <w:rPr>
          <w:caps w:val="0"/>
        </w:rPr>
        <w:t>PROYECTO DE NUEVA RESOLUCIÓN</w:t>
      </w:r>
      <w:r w:rsidR="00B83869" w:rsidRPr="00CA7A0F">
        <w:rPr>
          <w:caps w:val="0"/>
        </w:rPr>
        <w:t xml:space="preserve"> </w:t>
      </w:r>
      <w:r w:rsidR="00B83869" w:rsidRPr="00CA7A0F">
        <w:t>[IAP-</w:t>
      </w:r>
      <w:r w:rsidR="00B26436">
        <w:t>2</w:t>
      </w:r>
      <w:r w:rsidR="00B83869" w:rsidRPr="00CA7A0F">
        <w:t>]</w:t>
      </w:r>
    </w:p>
    <w:p w14:paraId="513C207E" w14:textId="3ECD6CD2" w:rsidR="00B83869" w:rsidRPr="00CA7A0F" w:rsidRDefault="00B83869" w:rsidP="00B83869">
      <w:pPr>
        <w:pStyle w:val="Restitle"/>
      </w:pPr>
      <w:r w:rsidRPr="00CA7A0F">
        <w:t>Importancia de la participación del sector privado en los trabajos</w:t>
      </w:r>
      <w:r w:rsidR="00D84446" w:rsidRPr="00CA7A0F">
        <w:br/>
      </w:r>
      <w:r w:rsidRPr="00CA7A0F">
        <w:t>del Sector de Normalización de las Telecomunicaciones de la UIT</w:t>
      </w:r>
    </w:p>
    <w:p w14:paraId="0AB771DF" w14:textId="75DBD6F8" w:rsidR="00B83869" w:rsidRPr="00CA7A0F" w:rsidRDefault="00B83869" w:rsidP="00B83869">
      <w:pPr>
        <w:pStyle w:val="Resref"/>
      </w:pPr>
      <w:r w:rsidRPr="00CA7A0F">
        <w:t>(</w:t>
      </w:r>
      <w:r w:rsidR="00374F69" w:rsidRPr="00374F69">
        <w:t>Ginebra</w:t>
      </w:r>
      <w:r w:rsidRPr="00CA7A0F">
        <w:t>, 2022)</w:t>
      </w:r>
    </w:p>
    <w:p w14:paraId="0F346B1E" w14:textId="4E847B01" w:rsidR="00B83869" w:rsidRPr="00CA7A0F" w:rsidRDefault="00B83869" w:rsidP="00D84446">
      <w:pPr>
        <w:pStyle w:val="Normalaftertitle"/>
      </w:pPr>
      <w:r w:rsidRPr="00CA7A0F">
        <w:t>La Asamblea Mundial de Normalización de las Telecomunicaciones (</w:t>
      </w:r>
      <w:r w:rsidR="00374F69" w:rsidRPr="00374F69">
        <w:t>Ginebra</w:t>
      </w:r>
      <w:r w:rsidRPr="00CA7A0F">
        <w:t>, 2022),</w:t>
      </w:r>
    </w:p>
    <w:p w14:paraId="68FE1D36" w14:textId="77777777" w:rsidR="00B83869" w:rsidRPr="00CA7A0F" w:rsidRDefault="00B83869" w:rsidP="00B83869">
      <w:pPr>
        <w:pStyle w:val="Call"/>
      </w:pPr>
      <w:r w:rsidRPr="00CA7A0F">
        <w:t>considerando</w:t>
      </w:r>
    </w:p>
    <w:p w14:paraId="77B38D1C" w14:textId="6E148F35" w:rsidR="00B83869" w:rsidRPr="00CA7A0F" w:rsidRDefault="007D4CEE" w:rsidP="00B83869">
      <w:r w:rsidRPr="00CA7A0F">
        <w:rPr>
          <w:i/>
          <w:iCs/>
        </w:rPr>
        <w:t>a)</w:t>
      </w:r>
      <w:r w:rsidRPr="00CA7A0F">
        <w:tab/>
        <w:t>el Artículo 1 de la Constitución de la UIT, en el que se recoge el objetivo de "alentar y mejorar la participación de entidades y organizaciones en las actividades de la Unión y favorecer la cooperación fructífera y la asociación entre ellas y los Estados Miembros para la consecución de los fines de la Unión";</w:t>
      </w:r>
    </w:p>
    <w:p w14:paraId="3E396BF9" w14:textId="1E2E57C1" w:rsidR="00B83869" w:rsidRPr="00CA7A0F" w:rsidRDefault="007D4CEE" w:rsidP="00B83869">
      <w:r w:rsidRPr="00CA7A0F">
        <w:rPr>
          <w:i/>
          <w:iCs/>
        </w:rPr>
        <w:t>b)</w:t>
      </w:r>
      <w:r w:rsidRPr="00CA7A0F">
        <w:tab/>
        <w:t>el número 28A del Artículo 3 de la Constitución, relativo a los derechos y obligaciones de los Estados Miembros y los Miembros de los Sectores, en virtud del cual "los Miembros de los Sectores tendrán […] derecho a participar plenamente en las actividades del Sector de que sean miembros";</w:t>
      </w:r>
    </w:p>
    <w:p w14:paraId="3BF01296" w14:textId="7A92FEBD" w:rsidR="00B83869" w:rsidRPr="00CA7A0F" w:rsidRDefault="007D4CEE" w:rsidP="00B83869">
      <w:r w:rsidRPr="00CA7A0F">
        <w:rPr>
          <w:i/>
          <w:iCs/>
        </w:rPr>
        <w:t>c)</w:t>
      </w:r>
      <w:r w:rsidRPr="00CA7A0F">
        <w:tab/>
        <w:t>el Artículo 19 del Convenio de la UIT, relativo a la participación de entidades y organizaciones distintas de las administraciones en las actividades de la Unión;</w:t>
      </w:r>
    </w:p>
    <w:p w14:paraId="0405EA40" w14:textId="59595458" w:rsidR="00B83869" w:rsidRPr="00CA7A0F" w:rsidRDefault="007D4CEE" w:rsidP="00B83869">
      <w:r w:rsidRPr="00CA7A0F">
        <w:rPr>
          <w:i/>
          <w:iCs/>
        </w:rPr>
        <w:t>d)</w:t>
      </w:r>
      <w:r w:rsidRPr="00CA7A0F">
        <w:tab/>
        <w:t>la Resolución 14 (Rev. Antalya, 2006) de la Conferencia de Plenipotenciarios, relativa al reconocimiento de los derechos y obligaciones de todos los Miembros de Sector de la Unión, en la que se detallan los derechos y obligaciones de los Miembros de Sector y se indica que estos últimos "pueden participar en todas las actividades del Sector en cuestión, con excepción de las votaciones formales y de algunas conferencias en que se concluyen tratados";</w:t>
      </w:r>
    </w:p>
    <w:p w14:paraId="52F58821" w14:textId="47C6B2A2" w:rsidR="00B83869" w:rsidRPr="00CA7A0F" w:rsidRDefault="00B83869" w:rsidP="00B83869">
      <w:r w:rsidRPr="00CA7A0F">
        <w:rPr>
          <w:i/>
          <w:iCs/>
        </w:rPr>
        <w:t>e)</w:t>
      </w:r>
      <w:r w:rsidRPr="00CA7A0F">
        <w:tab/>
        <w:t>la Resolución 170 (Rev. Busán, 2014) de la Conferencia de Plenipotenciarios, relativa a la admisión de los Miembros de Sector de los países en desarrollo para participar en los trabajos del Sector de Normalización de las Telecomunicaciones de la UIT y del Sector de Radiocomunicaciones de la UIT</w:t>
      </w:r>
      <w:r w:rsidR="001B352C" w:rsidRPr="00CA7A0F">
        <w:t>;</w:t>
      </w:r>
    </w:p>
    <w:p w14:paraId="71F83FFC" w14:textId="11F1BD7F" w:rsidR="00B83869" w:rsidRPr="00CA7A0F" w:rsidRDefault="00B83869" w:rsidP="00B83869">
      <w:r w:rsidRPr="00CA7A0F">
        <w:rPr>
          <w:i/>
          <w:iCs/>
        </w:rPr>
        <w:t>f)</w:t>
      </w:r>
      <w:r w:rsidRPr="00CA7A0F">
        <w:tab/>
      </w:r>
      <w:r w:rsidR="007D4CEE" w:rsidRPr="00CA7A0F">
        <w:t>la Resolución 122 (Rev. Guadalajara, 2010) de la Conferencia de Plenipotenciarios, relativa a la evolución del papel de la Asamblea Mundial de Normalización de las Telecomunicaciones, en la que se señala la necesidad de que los Estados Miembros y los Miembros de Sector del UIT-T colaboren estrechamente de manera proactiva, cooperativa y previsora, habida cuenta de sus funciones y objetivos respectivos, para promover la continua evolución del UIT-T;</w:t>
      </w:r>
    </w:p>
    <w:p w14:paraId="5BBBA33A" w14:textId="0772821C" w:rsidR="00B83869" w:rsidRPr="00CA7A0F" w:rsidRDefault="00B83869" w:rsidP="00B83869">
      <w:r w:rsidRPr="00CA7A0F">
        <w:rPr>
          <w:i/>
          <w:iCs/>
        </w:rPr>
        <w:t>g)</w:t>
      </w:r>
      <w:r w:rsidRPr="00CA7A0F">
        <w:tab/>
      </w:r>
      <w:r w:rsidR="007D4CEE" w:rsidRPr="00CA7A0F">
        <w:t>la Resolución 208 (Dubái, 2018) de la Conferencia de Plenipotenciarios, relativa al nombramiento y la duración máxima del mandato de los Presidentes y Vicepresidentes de los Grupos Asesores, las Comisiones de Estudio y otros grupos de los Sectores, en la que se hace especial hincapié en la importancia de seleccionar a los Presidentes teniendo particularmente presentes los principios de distribución geográfica equitativa y competencia personal, incluidos los conocimientos y la experiencia profesional pertinentes, así como las aptitudes de gestión,</w:t>
      </w:r>
    </w:p>
    <w:p w14:paraId="4871CB80" w14:textId="77777777" w:rsidR="00B83869" w:rsidRPr="00CA7A0F" w:rsidRDefault="00B83869" w:rsidP="00B83869">
      <w:pPr>
        <w:pStyle w:val="Call"/>
      </w:pPr>
      <w:r w:rsidRPr="00CA7A0F">
        <w:lastRenderedPageBreak/>
        <w:t>teniendo presente</w:t>
      </w:r>
    </w:p>
    <w:p w14:paraId="5098C8C3" w14:textId="4D70D3F5" w:rsidR="00B83869" w:rsidRPr="00CA7A0F" w:rsidRDefault="00B83869" w:rsidP="00B83869">
      <w:r w:rsidRPr="00CA7A0F">
        <w:rPr>
          <w:i/>
          <w:iCs/>
        </w:rPr>
        <w:t>a)</w:t>
      </w:r>
      <w:r w:rsidRPr="00CA7A0F">
        <w:tab/>
      </w:r>
      <w:r w:rsidR="007D4CEE" w:rsidRPr="00CA7A0F">
        <w:t>la Meta 5 del Plan Estratégico de la Unión para 2020-2023 (véase la Resolución 71 (Rev. Dubái, 2018) de la Conferencia de Plenipotenciarios) sobre la importancia de las asociaciones y la necesidad de fomentar la participación y la cooperación entre gobiernos, sector privado, sociedad civil, organizaciones intergubernamentales e internacionales y comunidades técnicas y académicas;</w:t>
      </w:r>
    </w:p>
    <w:p w14:paraId="105AC3D3" w14:textId="5E394109" w:rsidR="00B83869" w:rsidRPr="00CA7A0F" w:rsidRDefault="007D4CEE" w:rsidP="00B83869">
      <w:r w:rsidRPr="00CA7A0F">
        <w:rPr>
          <w:i/>
          <w:iCs/>
        </w:rPr>
        <w:t>b)</w:t>
      </w:r>
      <w:r w:rsidRPr="00CA7A0F">
        <w:tab/>
        <w:t>la Parte 4 del Plan Estratégico (aplicación y evaluación), descrita en el Anexo 1 a la Resolución 71, en la que se destacan las ventajas de definir criterios específicos de priorización entre las distintas actividades e iniciativas que la Unión está dispuesta a emprender, incluida su participación en trabajos en los que puede aportar un valor significativo;</w:t>
      </w:r>
    </w:p>
    <w:p w14:paraId="0517271C" w14:textId="1C2A39F6" w:rsidR="00B83869" w:rsidRPr="00CA7A0F" w:rsidRDefault="007D4CEE" w:rsidP="00B83869">
      <w:r w:rsidRPr="00CA7A0F">
        <w:rPr>
          <w:i/>
          <w:iCs/>
        </w:rPr>
        <w:t>c)</w:t>
      </w:r>
      <w:r w:rsidRPr="00CA7A0F">
        <w:tab/>
        <w:t>que la velocidad sin precedentes a la que se están desarrollando las nuevas tecnologías de telecomunicaciones/TIC, unida a la necesidad de que las normas sigan el mismo ritmo y a la convergencia de las tecnologías de telecomunicaciones, informática, radiodifusión e información a efectos de la creación de un número cada vez mayor de sistemas de comunicación integrados y de valor añadido, han impulsado al sector privado a desempeñar un papel primordial a fin de que la UIT se mantenga al día de la evolución del panorama general de las telecomunicaciones/TIC;</w:t>
      </w:r>
    </w:p>
    <w:p w14:paraId="64440C26" w14:textId="34E8F6C5" w:rsidR="00B83869" w:rsidRPr="00CA7A0F" w:rsidRDefault="007D4CEE" w:rsidP="00B83869">
      <w:r w:rsidRPr="00CA7A0F">
        <w:rPr>
          <w:i/>
          <w:iCs/>
        </w:rPr>
        <w:t>d)</w:t>
      </w:r>
      <w:r w:rsidRPr="00CA7A0F">
        <w:tab/>
        <w:t>que, en el marco del UIT-T, el sector privado ha aportado conocimientos técnicos en esferas de trabajo en las que se han logrado valiosos resultados,</w:t>
      </w:r>
    </w:p>
    <w:p w14:paraId="219309BD" w14:textId="77777777" w:rsidR="00B83869" w:rsidRPr="00CA7A0F" w:rsidRDefault="00B83869" w:rsidP="00B83869">
      <w:pPr>
        <w:pStyle w:val="Call"/>
      </w:pPr>
      <w:r w:rsidRPr="00CA7A0F">
        <w:t>reconociendo</w:t>
      </w:r>
    </w:p>
    <w:p w14:paraId="20E95BC6" w14:textId="6C76BA45" w:rsidR="00B83869" w:rsidRPr="00CA7A0F" w:rsidRDefault="007D4CEE" w:rsidP="00B83869">
      <w:r w:rsidRPr="00CA7A0F">
        <w:rPr>
          <w:i/>
          <w:iCs/>
        </w:rPr>
        <w:t>a)</w:t>
      </w:r>
      <w:r w:rsidRPr="00CA7A0F">
        <w:tab/>
        <w:t>que, desde 2009, el Director de la TSB viene organizando reuniones de Directores Técnicos (CTO) y</w:t>
      </w:r>
      <w:r w:rsidRPr="00CA7A0F">
        <w:rPr>
          <w:rFonts w:ascii="Segoe UI" w:hAnsi="Segoe UI" w:cs="Segoe UI"/>
          <w:color w:val="000000"/>
          <w:sz w:val="20"/>
          <w:shd w:val="clear" w:color="auto" w:fill="FFFFFF"/>
        </w:rPr>
        <w:t xml:space="preserve"> </w:t>
      </w:r>
      <w:r w:rsidRPr="00CA7A0F">
        <w:t>Directores Ejecutivos (CxO) de alto nivel del sector privado, en las que se debate la situación de la normalización, se determinan y coordinan prioridades en materia de normas y formas de atender mejor las necesidades del sector privado, y se elaboran informes que después examina el GANT;</w:t>
      </w:r>
    </w:p>
    <w:p w14:paraId="337272AD" w14:textId="126218A4" w:rsidR="00B83869" w:rsidRPr="00CA7A0F" w:rsidRDefault="00B83869" w:rsidP="00B83869">
      <w:r w:rsidRPr="00CA7A0F">
        <w:rPr>
          <w:i/>
          <w:iCs/>
        </w:rPr>
        <w:t>b)</w:t>
      </w:r>
      <w:r w:rsidRPr="00CA7A0F">
        <w:tab/>
        <w:t xml:space="preserve">que el GANT, en el ejercicio de sus funciones de asesoramiento a los </w:t>
      </w:r>
      <w:r w:rsidR="001B352C" w:rsidRPr="00CA7A0F">
        <w:t xml:space="preserve">miembros </w:t>
      </w:r>
      <w:r w:rsidRPr="00CA7A0F">
        <w:t>y a las Comisiones de Estudio sobre la evolución de las cuestiones estratégicas y el análisis de las deficiencias de los procesos industriales, ha definido una serie de parámetros y criterios que pueden utilizarse para encauzar un análisis estratégico del nivel de participación del sector privado en términos de contribuciones, asistencia y/o liderazgo;</w:t>
      </w:r>
    </w:p>
    <w:p w14:paraId="48A63615" w14:textId="77777777" w:rsidR="00B83869" w:rsidRPr="00CA7A0F" w:rsidRDefault="00B83869" w:rsidP="00B83869">
      <w:r w:rsidRPr="00CA7A0F">
        <w:rPr>
          <w:i/>
          <w:iCs/>
        </w:rPr>
        <w:t>c)</w:t>
      </w:r>
      <w:r w:rsidRPr="00CA7A0F">
        <w:tab/>
        <w:t xml:space="preserve">que, para medir la incidencia del sector privado en la consecución general de las metas estratégicas de la Unión en ciertas esferas de actividad del UIT-T en las que se ha logrado un valor añadido significativo, cabe la posibilidad de utilizar análisis estadísticos y mediciones a fin de supervisar y evaluar el avance de los trabajos de diversas Comisiones de Estudio del UIT-T;  </w:t>
      </w:r>
    </w:p>
    <w:p w14:paraId="2B75984D" w14:textId="42A6313A" w:rsidR="00B83869" w:rsidRPr="00CA7A0F" w:rsidRDefault="00B83869" w:rsidP="00B83869">
      <w:r w:rsidRPr="00CA7A0F">
        <w:rPr>
          <w:i/>
          <w:iCs/>
        </w:rPr>
        <w:t>d)</w:t>
      </w:r>
      <w:r w:rsidRPr="00CA7A0F">
        <w:tab/>
      </w:r>
      <w:r w:rsidR="001B352C" w:rsidRPr="00CA7A0F">
        <w:t>que dichos análisis pueden aprovecharse para concentrar los recursos en las actividades de carácter prioritario</w:t>
      </w:r>
      <w:r w:rsidRPr="00CA7A0F">
        <w:t xml:space="preserve">; </w:t>
      </w:r>
    </w:p>
    <w:p w14:paraId="59607F30" w14:textId="5C2E2735" w:rsidR="00B83869" w:rsidRPr="00CA7A0F" w:rsidRDefault="00B83869" w:rsidP="00B83869">
      <w:r w:rsidRPr="00CA7A0F">
        <w:rPr>
          <w:i/>
          <w:iCs/>
        </w:rPr>
        <w:t>e)</w:t>
      </w:r>
      <w:r w:rsidRPr="00CA7A0F">
        <w:tab/>
      </w:r>
      <w:r w:rsidR="001B352C" w:rsidRPr="00CA7A0F">
        <w:t>que las mediciones y correlaciones muestran que la participación del sector privado tiene unas repercusiones evidentes en el valor que revisten las Recomendaciones del UIT-T en el mercado</w:t>
      </w:r>
      <w:r w:rsidRPr="00CA7A0F">
        <w:t>;</w:t>
      </w:r>
    </w:p>
    <w:p w14:paraId="4F5B1935" w14:textId="77777777" w:rsidR="00B83869" w:rsidRPr="00CA7A0F" w:rsidRDefault="00B83869" w:rsidP="00B83869">
      <w:pPr>
        <w:pStyle w:val="Call"/>
      </w:pPr>
      <w:r w:rsidRPr="00CA7A0F">
        <w:t>observando</w:t>
      </w:r>
    </w:p>
    <w:p w14:paraId="74E2D48D" w14:textId="48A44211" w:rsidR="00B83869" w:rsidRPr="00CA7A0F" w:rsidRDefault="001B352C" w:rsidP="00B83869">
      <w:r w:rsidRPr="00CA7A0F">
        <w:t>que esta información basada en datos será crucial para la elaboración de una estrategia de optimización de la estructura del UIT-T en favor de sus trabajos presentes y futuros,</w:t>
      </w:r>
    </w:p>
    <w:p w14:paraId="3D011E4F" w14:textId="77777777" w:rsidR="00B83869" w:rsidRPr="00CA7A0F" w:rsidRDefault="00B83869" w:rsidP="00B83869">
      <w:pPr>
        <w:pStyle w:val="Call"/>
      </w:pPr>
      <w:r w:rsidRPr="00CA7A0F">
        <w:t>resuelve</w:t>
      </w:r>
    </w:p>
    <w:p w14:paraId="6EF4848E" w14:textId="43373AD8" w:rsidR="00B83869" w:rsidRPr="00CA7A0F" w:rsidRDefault="00B83869" w:rsidP="00B83869">
      <w:r w:rsidRPr="00CA7A0F">
        <w:t xml:space="preserve">que, en el marco del mandato y las responsabilidades de la AMNT, que brinda a los Estados Miembros y los Miembros de Sector del UIT-T un foro amplio e integrador en el que debatir el </w:t>
      </w:r>
      <w:r w:rsidRPr="00CA7A0F">
        <w:lastRenderedPageBreak/>
        <w:t>futuro del UIT-T, analizar la estructura y el funcionamiento generales del Sector y establecer objetivos para el mismo, se refuerce la participación del sector privado mediante la aplicación de medidas que persigan, entre otros, los siguientes objetivos:</w:t>
      </w:r>
    </w:p>
    <w:p w14:paraId="5251FED2" w14:textId="58F66564" w:rsidR="00B83869" w:rsidRPr="00CA7A0F" w:rsidRDefault="00B83869" w:rsidP="00B83869">
      <w:pPr>
        <w:ind w:left="810" w:hanging="810"/>
      </w:pPr>
      <w:r w:rsidRPr="00CA7A0F">
        <w:t>i)</w:t>
      </w:r>
      <w:r w:rsidRPr="00CA7A0F">
        <w:tab/>
        <w:t>garantizar que los participantes del sector privado, comprendidos los representantes de países en desarrollo</w:t>
      </w:r>
      <w:r w:rsidR="001B352C" w:rsidRPr="00CA7A0F">
        <w:t>,</w:t>
      </w:r>
      <w:r w:rsidRPr="00CA7A0F">
        <w:t xml:space="preserve"> puedan participar plenamente en todos los asuntos que competen al UIT-T;</w:t>
      </w:r>
    </w:p>
    <w:p w14:paraId="607E9E10" w14:textId="77777777" w:rsidR="00B83869" w:rsidRPr="00CA7A0F" w:rsidRDefault="00B83869" w:rsidP="00B83869">
      <w:pPr>
        <w:ind w:left="810" w:hanging="810"/>
      </w:pPr>
      <w:r w:rsidRPr="00CA7A0F">
        <w:t>ii)</w:t>
      </w:r>
      <w:r w:rsidRPr="00CA7A0F">
        <w:tab/>
        <w:t>fomentar la participación del sector privado en los preparativos de las AMNT, especialmente en los debates relativos a las prioridades del sector privado, por ejemplo como presidentes y vicepresidentes de determinadas Comisiones de Estudio;</w:t>
      </w:r>
    </w:p>
    <w:p w14:paraId="27F55B9E" w14:textId="14FDD6B7" w:rsidR="00B83869" w:rsidRPr="00CA7A0F" w:rsidRDefault="00B83869" w:rsidP="00B83869">
      <w:pPr>
        <w:ind w:left="810" w:hanging="810"/>
      </w:pPr>
      <w:r w:rsidRPr="00CA7A0F">
        <w:t>iii)</w:t>
      </w:r>
      <w:r w:rsidRPr="00CA7A0F">
        <w:tab/>
        <w:t xml:space="preserve">reconocer que la participación del sector privado en puestos de liderazgo, en esferas en las que sus conocimientos técnicos son esenciales, resulta crucial para la sostenibilidad del UIT-T en un ecosistema de normalización altamente competitivo y diverso, </w:t>
      </w:r>
    </w:p>
    <w:p w14:paraId="0AC88B60" w14:textId="77777777" w:rsidR="00B83869" w:rsidRPr="00CA7A0F" w:rsidRDefault="00B83869" w:rsidP="00B83869">
      <w:pPr>
        <w:pStyle w:val="Call"/>
      </w:pPr>
      <w:r w:rsidRPr="00CA7A0F">
        <w:t>invita al Grupo Asesor de Normalización de las Telecomunicaciones</w:t>
      </w:r>
    </w:p>
    <w:p w14:paraId="4A97A695" w14:textId="13956BAA" w:rsidR="00B83869" w:rsidRPr="00CA7A0F" w:rsidRDefault="00B83869" w:rsidP="00B83869">
      <w:r w:rsidRPr="00CA7A0F">
        <w:t>1</w:t>
      </w:r>
      <w:r w:rsidRPr="00CA7A0F">
        <w:tab/>
        <w:t>a estudiar formas de crear un entorno estructural que refuerce la participación del sector privado, comprendidos los representantes de países en desarrollo, en todos los ámbitos de competencia del UIT-T;</w:t>
      </w:r>
    </w:p>
    <w:p w14:paraId="36DE91A0" w14:textId="684B4B9B" w:rsidR="00B83869" w:rsidRPr="00CA7A0F" w:rsidRDefault="00B83869" w:rsidP="00B83869">
      <w:r w:rsidRPr="00CA7A0F">
        <w:t>2</w:t>
      </w:r>
      <w:r w:rsidRPr="00CA7A0F">
        <w:tab/>
      </w:r>
      <w:r w:rsidR="001B352C" w:rsidRPr="00CA7A0F">
        <w:t>a proseguir el análisis de los parámetros de participación del sector privado y de sus resultados no sólo a nivel de las Comisiones de Estudio, sino también de los Grupos de Relator y de las reuniones conjuntas con otras organizaciones internacionales;</w:t>
      </w:r>
    </w:p>
    <w:p w14:paraId="13856565" w14:textId="602EA7EC" w:rsidR="00B83869" w:rsidRPr="00CA7A0F" w:rsidRDefault="00B83869" w:rsidP="00B83869">
      <w:r w:rsidRPr="00CA7A0F">
        <w:t>3</w:t>
      </w:r>
      <w:r w:rsidRPr="00CA7A0F">
        <w:tab/>
        <w:t>a definir opciones para la creación, bajo los auspicios del GANT, de un grupo dirigido por el sector privado, cuyo objetivo sea determinar las cuestiones y medidas esenciales para mantener y elevar el nivel de participación en los trabajos del UIT-T,</w:t>
      </w:r>
    </w:p>
    <w:p w14:paraId="7F8F84FE" w14:textId="77777777" w:rsidR="00B83869" w:rsidRPr="00CA7A0F" w:rsidRDefault="00B83869" w:rsidP="00B83869">
      <w:pPr>
        <w:pStyle w:val="Call"/>
      </w:pPr>
      <w:r w:rsidRPr="00CA7A0F">
        <w:t>encarga al Director de la Oficina de Normalización de las Telecomunicaciones</w:t>
      </w:r>
    </w:p>
    <w:p w14:paraId="3FEDF20B" w14:textId="6BEAB81B" w:rsidR="00B83869" w:rsidRPr="00CA7A0F" w:rsidRDefault="00B83869" w:rsidP="00B83869">
      <w:r w:rsidRPr="00CA7A0F">
        <w:t xml:space="preserve">que </w:t>
      </w:r>
      <w:r w:rsidR="002E4464" w:rsidRPr="00CA7A0F">
        <w:t xml:space="preserve">siga organizando </w:t>
      </w:r>
      <w:r w:rsidRPr="00CA7A0F">
        <w:t>reuniones de ejecutivos del sector privado</w:t>
      </w:r>
      <w:r w:rsidR="001B352C" w:rsidRPr="00CA7A0F">
        <w:t>,</w:t>
      </w:r>
      <w:r w:rsidRPr="00CA7A0F">
        <w:t xml:space="preserve"> </w:t>
      </w:r>
      <w:r w:rsidR="002E4464" w:rsidRPr="00CA7A0F">
        <w:t>por ejemplo</w:t>
      </w:r>
      <w:r w:rsidR="001B352C" w:rsidRPr="00CA7A0F">
        <w:t>,</w:t>
      </w:r>
      <w:r w:rsidR="002E4464" w:rsidRPr="00CA7A0F">
        <w:t xml:space="preserve"> reuniones de los grupos </w:t>
      </w:r>
      <w:r w:rsidRPr="00CA7A0F">
        <w:t>CTO/C</w:t>
      </w:r>
      <w:r w:rsidR="002E4464" w:rsidRPr="00CA7A0F">
        <w:t>x</w:t>
      </w:r>
      <w:r w:rsidRPr="00CA7A0F">
        <w:t>O, para facilitar la definición y coordinación de las prioridades y los temas de interés en el ámbito de la normalización, e informe al GANT al respecto,</w:t>
      </w:r>
    </w:p>
    <w:p w14:paraId="266B6DE2" w14:textId="77777777" w:rsidR="00B83869" w:rsidRPr="00CA7A0F" w:rsidRDefault="00B83869" w:rsidP="00B83869">
      <w:pPr>
        <w:pStyle w:val="Call"/>
      </w:pPr>
      <w:r w:rsidRPr="00CA7A0F">
        <w:t>invita a la Oficina de Normalización de las Telecomunicaciones</w:t>
      </w:r>
    </w:p>
    <w:p w14:paraId="0263416F" w14:textId="66EAB1DC" w:rsidR="00B83869" w:rsidRPr="00CA7A0F" w:rsidRDefault="001B352C" w:rsidP="00B83869">
      <w:r w:rsidRPr="00CA7A0F">
        <w:t>a ayudar a las Comisiones de Estudio y al GANT a concretar medidas adicionales para reforzar la participación del sector privado en los trabajos del UIT-T,</w:t>
      </w:r>
    </w:p>
    <w:p w14:paraId="34D1F9FE" w14:textId="77777777" w:rsidR="00B83869" w:rsidRPr="00CA7A0F" w:rsidRDefault="00B83869" w:rsidP="00B83869">
      <w:pPr>
        <w:pStyle w:val="Call"/>
      </w:pPr>
      <w:r w:rsidRPr="00CA7A0F">
        <w:t>invita a los Estados Miembros, los Miembros de Sector, los Asociados y otros participantes en los trabajos del UIT-T</w:t>
      </w:r>
    </w:p>
    <w:p w14:paraId="767067BB" w14:textId="5C526BC8" w:rsidR="00B83869" w:rsidRPr="00CA7A0F" w:rsidRDefault="00B83869" w:rsidP="00B83869">
      <w:r w:rsidRPr="00CA7A0F">
        <w:t>a aportar contribuciones y propuestas sobre formas de reforzar la participación del sector privado.</w:t>
      </w:r>
    </w:p>
    <w:p w14:paraId="4BCD3A83" w14:textId="77777777" w:rsidR="00D84446" w:rsidRPr="00CA7A0F" w:rsidRDefault="00D84446" w:rsidP="00411C49">
      <w:pPr>
        <w:pStyle w:val="Reasons"/>
      </w:pPr>
    </w:p>
    <w:p w14:paraId="1B4A89C3" w14:textId="77777777" w:rsidR="00D84446" w:rsidRPr="00CA7A0F" w:rsidRDefault="00D84446">
      <w:pPr>
        <w:jc w:val="center"/>
      </w:pPr>
      <w:r w:rsidRPr="00CA7A0F">
        <w:t>______________</w:t>
      </w:r>
    </w:p>
    <w:sectPr w:rsidR="00D84446" w:rsidRPr="00CA7A0F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3C9A" w14:textId="77777777" w:rsidR="00FC241D" w:rsidRDefault="00FC241D">
      <w:r>
        <w:separator/>
      </w:r>
    </w:p>
  </w:endnote>
  <w:endnote w:type="continuationSeparator" w:id="0">
    <w:p w14:paraId="7C7C0BD3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EBF8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56209" w14:textId="08CFA4AD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D84446">
      <w:rPr>
        <w:noProof/>
        <w:lang w:val="fr-CH"/>
      </w:rPr>
      <w:t>P:\ESP\ITU-T\CONF-T\WTSA20\000\039ADD17S.docx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6436">
      <w:rPr>
        <w:noProof/>
      </w:rPr>
      <w:t>20.09.21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84446">
      <w:rPr>
        <w:noProof/>
      </w:rPr>
      <w:t>18.08.21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B6D6" w14:textId="1233E5BB" w:rsidR="0077084A" w:rsidRPr="00374F69" w:rsidRDefault="0077084A" w:rsidP="00FC3528">
    <w:pPr>
      <w:pStyle w:val="Footer"/>
      <w:ind w:right="360"/>
      <w:rPr>
        <w:lang w:val="fr-BE"/>
      </w:rPr>
    </w:pPr>
    <w:r>
      <w:fldChar w:fldCharType="begin"/>
    </w:r>
    <w:r w:rsidRPr="00374F69">
      <w:rPr>
        <w:lang w:val="fr-BE"/>
      </w:rPr>
      <w:instrText xml:space="preserve"> FILENAME \p  \* MERGEFORMAT </w:instrText>
    </w:r>
    <w:r>
      <w:fldChar w:fldCharType="separate"/>
    </w:r>
    <w:r w:rsidR="00D84446" w:rsidRPr="00374F69">
      <w:rPr>
        <w:lang w:val="fr-BE"/>
      </w:rPr>
      <w:t>P:\ESP\ITU-T\CONF-T\WTSA20\000\039ADD17S.docx</w:t>
    </w:r>
    <w:r>
      <w:fldChar w:fldCharType="end"/>
    </w:r>
    <w:r w:rsidR="00D84446" w:rsidRPr="00374F69">
      <w:rPr>
        <w:lang w:val="fr-BE"/>
      </w:rPr>
      <w:t xml:space="preserve"> (493248)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EEB1" w14:textId="7983F772" w:rsidR="00D84446" w:rsidRPr="00374F69" w:rsidRDefault="00D84446" w:rsidP="00D84446">
    <w:pPr>
      <w:pStyle w:val="Footer"/>
      <w:ind w:right="360"/>
      <w:rPr>
        <w:lang w:val="fr-BE"/>
      </w:rPr>
    </w:pPr>
    <w:r>
      <w:fldChar w:fldCharType="begin"/>
    </w:r>
    <w:r w:rsidRPr="00374F69">
      <w:rPr>
        <w:lang w:val="fr-BE"/>
      </w:rPr>
      <w:instrText xml:space="preserve"> FILENAME \p  \* MERGEFORMAT </w:instrText>
    </w:r>
    <w:r>
      <w:fldChar w:fldCharType="separate"/>
    </w:r>
    <w:r w:rsidRPr="00374F69">
      <w:rPr>
        <w:lang w:val="fr-BE"/>
      </w:rPr>
      <w:t>P:\ESP\ITU-T\CONF-T\WTSA20\000\039ADD17S.docx</w:t>
    </w:r>
    <w:r>
      <w:fldChar w:fldCharType="end"/>
    </w:r>
    <w:r w:rsidRPr="00374F69">
      <w:rPr>
        <w:lang w:val="fr-BE"/>
      </w:rPr>
      <w:t xml:space="preserve"> (493248)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9EC4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5032B1E0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8D28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67B3FC77" w14:textId="7F0241B9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B26436">
      <w:rPr>
        <w:noProof/>
      </w:rPr>
      <w:t>Addéndum 17 al</w:t>
    </w:r>
    <w:r w:rsidR="00B26436">
      <w:rPr>
        <w:noProof/>
      </w:rPr>
      <w:br/>
      <w:t>Documento 39-S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7336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B352C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4455F"/>
    <w:rsid w:val="00255F12"/>
    <w:rsid w:val="00262C09"/>
    <w:rsid w:val="00263815"/>
    <w:rsid w:val="0028017B"/>
    <w:rsid w:val="00286495"/>
    <w:rsid w:val="002A791F"/>
    <w:rsid w:val="002C1B26"/>
    <w:rsid w:val="002C79B8"/>
    <w:rsid w:val="002E4464"/>
    <w:rsid w:val="002E5627"/>
    <w:rsid w:val="002E701F"/>
    <w:rsid w:val="00305FD9"/>
    <w:rsid w:val="003237B0"/>
    <w:rsid w:val="003248A9"/>
    <w:rsid w:val="00324FFA"/>
    <w:rsid w:val="0032680B"/>
    <w:rsid w:val="00363A65"/>
    <w:rsid w:val="00374F69"/>
    <w:rsid w:val="00377EC9"/>
    <w:rsid w:val="003B09F8"/>
    <w:rsid w:val="003B1E8C"/>
    <w:rsid w:val="003C2508"/>
    <w:rsid w:val="003C76EC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A374D"/>
    <w:rsid w:val="005C475F"/>
    <w:rsid w:val="005C5DD7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D4CEE"/>
    <w:rsid w:val="007E5A28"/>
    <w:rsid w:val="007E667F"/>
    <w:rsid w:val="008506AC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26436"/>
    <w:rsid w:val="00B51263"/>
    <w:rsid w:val="00B52D55"/>
    <w:rsid w:val="00B61807"/>
    <w:rsid w:val="00B627DD"/>
    <w:rsid w:val="00B75455"/>
    <w:rsid w:val="00B8288C"/>
    <w:rsid w:val="00B83869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A7A0F"/>
    <w:rsid w:val="00CB35C9"/>
    <w:rsid w:val="00CB43BC"/>
    <w:rsid w:val="00CC01E0"/>
    <w:rsid w:val="00CD1851"/>
    <w:rsid w:val="00CD5FEE"/>
    <w:rsid w:val="00CD663E"/>
    <w:rsid w:val="00CE60D2"/>
    <w:rsid w:val="00D0288A"/>
    <w:rsid w:val="00D56781"/>
    <w:rsid w:val="00D72A5D"/>
    <w:rsid w:val="00D84446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03DF2A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qFormat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3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5012a03-81a0-468d-9b69-f8b2918b2e95">DPM</DPM_x0020_Author>
    <DPM_x0020_File_x0020_name xmlns="45012a03-81a0-468d-9b69-f8b2918b2e95">T17-WTSA.20-C-0039!A17!MSW-S</DPM_x0020_File_x0020_name>
    <DPM_x0020_Version xmlns="45012a03-81a0-468d-9b69-f8b2918b2e95">DPM_2019.11.13.01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5012a03-81a0-468d-9b69-f8b2918b2e95" targetNamespace="http://schemas.microsoft.com/office/2006/metadata/properties" ma:root="true" ma:fieldsID="d41af5c836d734370eb92e7ee5f83852" ns2:_="" ns3:_="">
    <xsd:import namespace="996b2e75-67fd-4955-a3b0-5ab9934cb50b"/>
    <xsd:import namespace="45012a03-81a0-468d-9b69-f8b2918b2e9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12a03-81a0-468d-9b69-f8b2918b2e9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12a03-81a0-468d-9b69-f8b2918b2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5012a03-81a0-468d-9b69-f8b2918b2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1865</Words>
  <Characters>10124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T17-WTSA.20-C-0039!A17!MSW-S</vt:lpstr>
    </vt:vector>
  </TitlesOfParts>
  <Manager>Secretaría General - Pool</Manager>
  <Company>International Telecommunication Union (ITU)</Company>
  <LinksUpToDate>false</LinksUpToDate>
  <CharactersWithSpaces>11966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T17-WTSA.20-C-0039!A17!MSW-S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TSB (JB)</cp:lastModifiedBy>
  <cp:revision>2</cp:revision>
  <cp:lastPrinted>2021-08-18T13:52:00Z</cp:lastPrinted>
  <dcterms:created xsi:type="dcterms:W3CDTF">2021-10-20T07:50:00Z</dcterms:created>
  <dcterms:modified xsi:type="dcterms:W3CDTF">2021-10-20T07:50:00Z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