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22816C03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0069243C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5C9FD3CF" w14:textId="4AA887F8" w:rsidR="00A33A95" w:rsidRPr="00136B82" w:rsidRDefault="00114EF7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7A8D8703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8A2E338" wp14:editId="4BF3C69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2BA437C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5A19748C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D990750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AAB6ACB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0EBBA119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F2006A3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00535D" w14:paraId="2DAC8919" w14:textId="77777777" w:rsidTr="004E2A5D">
        <w:trPr>
          <w:cantSplit/>
        </w:trPr>
        <w:tc>
          <w:tcPr>
            <w:tcW w:w="6619" w:type="dxa"/>
            <w:gridSpan w:val="2"/>
          </w:tcPr>
          <w:p w14:paraId="3D2C9D7A" w14:textId="77777777" w:rsidR="00A809E8" w:rsidRPr="000053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00535D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3A21FD8" w14:textId="77777777" w:rsidR="00A809E8" w:rsidRPr="0000535D" w:rsidRDefault="0004128B" w:rsidP="005C3880">
            <w:pPr>
              <w:pStyle w:val="Adress"/>
              <w:framePr w:hSpace="0" w:wrap="auto" w:xAlign="left" w:yAlign="inline"/>
              <w:spacing w:before="40" w:after="40"/>
            </w:pPr>
            <w:r>
              <w:rPr>
                <w:rFonts w:hint="cs"/>
                <w:rtl/>
              </w:rPr>
              <w:t>الإضافة </w:t>
            </w:r>
            <w:r w:rsidR="005C3880" w:rsidRPr="0000535D">
              <w:t>1</w:t>
            </w:r>
            <w:r w:rsidR="005C3880" w:rsidRPr="0000535D">
              <w:br/>
            </w:r>
            <w:r w:rsidR="0000535D">
              <w:rPr>
                <w:rFonts w:hint="cs"/>
                <w:rtl/>
              </w:rPr>
              <w:t xml:space="preserve">للوثيقة </w:t>
            </w:r>
            <w:r w:rsidR="0000535D">
              <w:t>39-A</w:t>
            </w:r>
          </w:p>
        </w:tc>
      </w:tr>
      <w:tr w:rsidR="005C3880" w:rsidRPr="0000535D" w14:paraId="1E1E6B58" w14:textId="77777777" w:rsidTr="004E2A5D">
        <w:trPr>
          <w:cantSplit/>
        </w:trPr>
        <w:tc>
          <w:tcPr>
            <w:tcW w:w="6619" w:type="dxa"/>
            <w:gridSpan w:val="2"/>
          </w:tcPr>
          <w:p w14:paraId="4F143FA6" w14:textId="77777777" w:rsidR="005C3880" w:rsidRPr="000053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6DAACA7" w14:textId="77777777" w:rsidR="005C3880" w:rsidRPr="000053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00535D">
              <w:rPr>
                <w:rFonts w:eastAsia="SimSun"/>
              </w:rPr>
              <w:t>24</w:t>
            </w:r>
            <w:r w:rsidRPr="0000535D">
              <w:rPr>
                <w:rFonts w:eastAsia="SimSun"/>
                <w:rtl/>
              </w:rPr>
              <w:t xml:space="preserve"> مارس </w:t>
            </w:r>
            <w:r w:rsidRPr="0000535D">
              <w:rPr>
                <w:rFonts w:eastAsia="SimSun"/>
              </w:rPr>
              <w:t>2021</w:t>
            </w:r>
          </w:p>
        </w:tc>
      </w:tr>
      <w:tr w:rsidR="005C3880" w:rsidRPr="0000535D" w14:paraId="0936A24A" w14:textId="77777777" w:rsidTr="004E2A5D">
        <w:trPr>
          <w:cantSplit/>
        </w:trPr>
        <w:tc>
          <w:tcPr>
            <w:tcW w:w="6619" w:type="dxa"/>
            <w:gridSpan w:val="2"/>
          </w:tcPr>
          <w:p w14:paraId="1008DF4C" w14:textId="77777777" w:rsidR="005C3880" w:rsidRPr="000053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F6B0F4C" w14:textId="77777777" w:rsidR="005C3880" w:rsidRPr="000053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00535D">
              <w:rPr>
                <w:rtl/>
              </w:rPr>
              <w:t>الأصل: بالإنكليزية</w:t>
            </w:r>
          </w:p>
        </w:tc>
      </w:tr>
      <w:tr w:rsidR="005C3880" w14:paraId="6CDAD0D4" w14:textId="77777777" w:rsidTr="004E2A5D">
        <w:trPr>
          <w:cantSplit/>
        </w:trPr>
        <w:tc>
          <w:tcPr>
            <w:tcW w:w="9672" w:type="dxa"/>
            <w:gridSpan w:val="3"/>
          </w:tcPr>
          <w:p w14:paraId="0FFCB5E5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219A0EB" w14:textId="77777777" w:rsidTr="004E2A5D">
        <w:trPr>
          <w:cantSplit/>
        </w:trPr>
        <w:tc>
          <w:tcPr>
            <w:tcW w:w="9672" w:type="dxa"/>
            <w:gridSpan w:val="3"/>
          </w:tcPr>
          <w:p w14:paraId="218A4F87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5C3880" w14:paraId="613B402C" w14:textId="77777777" w:rsidTr="004E2A5D">
        <w:trPr>
          <w:cantSplit/>
        </w:trPr>
        <w:tc>
          <w:tcPr>
            <w:tcW w:w="9672" w:type="dxa"/>
            <w:gridSpan w:val="3"/>
          </w:tcPr>
          <w:p w14:paraId="3C3F3E06" w14:textId="77777777" w:rsidR="005C3880" w:rsidRPr="00BD6EF3" w:rsidRDefault="003521D6" w:rsidP="005C3880">
            <w:pPr>
              <w:pStyle w:val="Title1"/>
              <w:spacing w:before="240"/>
            </w:pPr>
            <w:r w:rsidRPr="0004128B">
              <w:rPr>
                <w:rFonts w:hint="cs"/>
                <w:rtl/>
              </w:rPr>
              <w:t>إلغاء</w:t>
            </w:r>
            <w:r w:rsidR="0000535D">
              <w:rPr>
                <w:rFonts w:hint="cs"/>
                <w:rtl/>
              </w:rPr>
              <w:t xml:space="preserve"> مقترح للقرار </w:t>
            </w:r>
            <w:r w:rsidR="0000535D">
              <w:t>35</w:t>
            </w:r>
          </w:p>
        </w:tc>
      </w:tr>
      <w:tr w:rsidR="005C3880" w14:paraId="2D56F454" w14:textId="77777777" w:rsidTr="004E2A5D">
        <w:trPr>
          <w:cantSplit/>
        </w:trPr>
        <w:tc>
          <w:tcPr>
            <w:tcW w:w="9672" w:type="dxa"/>
            <w:gridSpan w:val="3"/>
          </w:tcPr>
          <w:p w14:paraId="3919C994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1102DD00" w14:textId="77777777" w:rsidTr="00FC7FD8">
        <w:trPr>
          <w:cantSplit/>
        </w:trPr>
        <w:tc>
          <w:tcPr>
            <w:tcW w:w="9672" w:type="dxa"/>
            <w:gridSpan w:val="3"/>
          </w:tcPr>
          <w:p w14:paraId="7BE811E1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7D6830B3" w14:textId="77777777" w:rsidTr="00FC7FD8">
        <w:trPr>
          <w:cantSplit/>
        </w:trPr>
        <w:tc>
          <w:tcPr>
            <w:tcW w:w="1348" w:type="dxa"/>
          </w:tcPr>
          <w:p w14:paraId="35E51102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FCA428F" w14:textId="77777777" w:rsidR="005C3880" w:rsidRDefault="0000535D" w:rsidP="005C3880">
            <w:pPr>
              <w:spacing w:after="120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أقر مؤتمر المندوبين المفوضين لعام </w:t>
            </w:r>
            <w:r>
              <w:t>2018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8A56F2">
              <w:rPr>
                <w:rFonts w:hint="cs"/>
                <w:rtl/>
                <w:lang w:bidi="ar-EG"/>
              </w:rPr>
              <w:t>بضرورة</w:t>
            </w:r>
            <w:r>
              <w:rPr>
                <w:rFonts w:hint="cs"/>
                <w:rtl/>
                <w:lang w:bidi="ar-EG"/>
              </w:rPr>
              <w:t xml:space="preserve"> تبسيط القرارات. وتأييداً لهذا الهدف، تقترح لجنة البلدان الأمريكية للاتصالات </w:t>
            </w:r>
            <w:r>
              <w:rPr>
                <w:lang w:bidi="ar-EG"/>
              </w:rPr>
              <w:t>(CITEL)</w:t>
            </w:r>
            <w:r>
              <w:rPr>
                <w:rFonts w:hint="cs"/>
                <w:rtl/>
                <w:lang w:bidi="ar-EG"/>
              </w:rPr>
              <w:t xml:space="preserve"> إلغاء القرار </w:t>
            </w:r>
            <w:r>
              <w:rPr>
                <w:lang w:bidi="ar-EG"/>
              </w:rPr>
              <w:t>35</w:t>
            </w:r>
            <w:r>
              <w:rPr>
                <w:rFonts w:hint="cs"/>
                <w:rtl/>
                <w:lang w:bidi="ar-EG"/>
              </w:rPr>
              <w:t xml:space="preserve"> (المراجَع في الحمامات، </w:t>
            </w:r>
            <w:r>
              <w:rPr>
                <w:lang w:bidi="ar-EG"/>
              </w:rPr>
              <w:t>2016</w:t>
            </w:r>
            <w:r>
              <w:rPr>
                <w:rFonts w:hint="cs"/>
                <w:rtl/>
                <w:lang w:bidi="ar-EG"/>
              </w:rPr>
              <w:t>).</w:t>
            </w:r>
          </w:p>
        </w:tc>
      </w:tr>
    </w:tbl>
    <w:p w14:paraId="2121518B" w14:textId="77777777" w:rsidR="00FC7FD8" w:rsidRDefault="00FC7FD8" w:rsidP="00790154"/>
    <w:p w14:paraId="1642078F" w14:textId="77777777" w:rsidR="002F3E46" w:rsidRDefault="002F3E46" w:rsidP="00523D37">
      <w:pPr>
        <w:rPr>
          <w:lang w:bidi="ar-EG"/>
        </w:rPr>
      </w:pPr>
    </w:p>
    <w:p w14:paraId="7E28A60D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8774E42" w14:textId="77777777" w:rsidR="00472EA4" w:rsidRPr="0000535D" w:rsidRDefault="00634E31">
      <w:pPr>
        <w:pStyle w:val="Proposal"/>
        <w:rPr>
          <w:rtl/>
        </w:rPr>
      </w:pPr>
      <w:r>
        <w:lastRenderedPageBreak/>
        <w:t>SUP</w:t>
      </w:r>
      <w:r>
        <w:tab/>
        <w:t>IAP/39A1/1</w:t>
      </w:r>
    </w:p>
    <w:p w14:paraId="14023ED4" w14:textId="77777777" w:rsidR="0043659F" w:rsidRPr="00410333" w:rsidRDefault="00634E31" w:rsidP="00B17728">
      <w:pPr>
        <w:pStyle w:val="ResNo"/>
        <w:rPr>
          <w:rtl/>
        </w:rPr>
      </w:pPr>
      <w:bookmarkStart w:id="1" w:name="RES_35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>رار</w:t>
      </w:r>
      <w:r w:rsidRPr="00410333">
        <w:rPr>
          <w:rFonts w:hint="cs"/>
          <w:rtl/>
        </w:rPr>
        <w:t> </w:t>
      </w:r>
      <w:r w:rsidRPr="00410333">
        <w:rPr>
          <w:rStyle w:val="href"/>
        </w:rPr>
        <w:t>35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rPr>
          <w:lang w:bidi="ar-SA"/>
        </w:rPr>
        <w:t>2016</w:t>
      </w:r>
      <w:r w:rsidRPr="00410333">
        <w:rPr>
          <w:rFonts w:hint="cs"/>
          <w:rtl/>
        </w:rPr>
        <w:t>)</w:t>
      </w:r>
    </w:p>
    <w:p w14:paraId="35310071" w14:textId="77777777" w:rsidR="0043659F" w:rsidRPr="00410333" w:rsidRDefault="00634E31" w:rsidP="00B17728">
      <w:pPr>
        <w:pStyle w:val="Restitle"/>
        <w:rPr>
          <w:noProof/>
          <w:rtl/>
          <w:lang w:val="fr-FR" w:bidi="ar-EG"/>
        </w:rPr>
      </w:pPr>
      <w:bookmarkStart w:id="2" w:name="_Toc219803531"/>
      <w:bookmarkStart w:id="3" w:name="_Toc349551570"/>
      <w:bookmarkEnd w:id="1"/>
      <w:r w:rsidRPr="00410333">
        <w:rPr>
          <w:noProof/>
          <w:rtl/>
          <w:lang w:bidi="ar-EG"/>
        </w:rPr>
        <w:t>تعيين رؤساء لجان الدراسات التابعة لقطاع تقييس الاتصالات</w:t>
      </w:r>
      <w:r w:rsidRPr="00410333">
        <w:rPr>
          <w:noProof/>
          <w:rtl/>
          <w:lang w:bidi="ar-EG"/>
        </w:rPr>
        <w:br/>
      </w:r>
      <w:r w:rsidRPr="00410333">
        <w:rPr>
          <w:rFonts w:hint="cs"/>
          <w:noProof/>
          <w:rtl/>
          <w:lang w:bidi="ar-EG"/>
        </w:rPr>
        <w:t xml:space="preserve">للاتحاد الدولي للاتصالات ونوابهم </w:t>
      </w:r>
      <w:r w:rsidRPr="00410333">
        <w:rPr>
          <w:noProof/>
          <w:rtl/>
          <w:lang w:bidi="ar-EG"/>
        </w:rPr>
        <w:t>و</w:t>
      </w:r>
      <w:r w:rsidRPr="00410333">
        <w:rPr>
          <w:rFonts w:hint="cs"/>
          <w:noProof/>
          <w:rtl/>
          <w:lang w:bidi="ar-EG"/>
        </w:rPr>
        <w:t xml:space="preserve">رئيس </w:t>
      </w:r>
      <w:r w:rsidRPr="00410333">
        <w:rPr>
          <w:noProof/>
          <w:rtl/>
          <w:lang w:bidi="ar-EG"/>
        </w:rPr>
        <w:t>الفريق الاستشاري</w:t>
      </w:r>
      <w:r w:rsidRPr="00410333">
        <w:rPr>
          <w:rFonts w:hint="cs"/>
          <w:noProof/>
          <w:rtl/>
          <w:lang w:bidi="ar-EG"/>
        </w:rPr>
        <w:br/>
      </w:r>
      <w:r w:rsidRPr="00410333">
        <w:rPr>
          <w:noProof/>
          <w:rtl/>
          <w:lang w:bidi="ar-EG"/>
        </w:rPr>
        <w:t>لتقييس الاتصالات</w:t>
      </w:r>
      <w:r w:rsidRPr="00410333">
        <w:rPr>
          <w:rFonts w:hint="cs"/>
          <w:noProof/>
          <w:rtl/>
          <w:lang w:bidi="ar-EG"/>
        </w:rPr>
        <w:t xml:space="preserve"> ونوابه،</w:t>
      </w:r>
      <w:r w:rsidRPr="00410333">
        <w:rPr>
          <w:noProof/>
          <w:rtl/>
          <w:lang w:bidi="ar-EG"/>
        </w:rPr>
        <w:t xml:space="preserve"> والحد الأقصى لمدة ولايتهم</w:t>
      </w:r>
      <w:bookmarkEnd w:id="2"/>
      <w:bookmarkEnd w:id="3"/>
    </w:p>
    <w:p w14:paraId="33EAB615" w14:textId="77777777" w:rsidR="0043659F" w:rsidRPr="00410333" w:rsidRDefault="00634E31" w:rsidP="00B17728">
      <w:pPr>
        <w:pStyle w:val="Resref"/>
        <w:rPr>
          <w:iCs w:val="0"/>
          <w:rtl/>
        </w:rPr>
      </w:pPr>
      <w:r w:rsidRPr="00410333">
        <w:rPr>
          <w:rtl/>
        </w:rPr>
        <w:t>(</w:t>
      </w:r>
      <w:r w:rsidRPr="00410333">
        <w:rPr>
          <w:rFonts w:hint="eastAsia"/>
          <w:rtl/>
        </w:rPr>
        <w:t>مونتريال،</w:t>
      </w:r>
      <w:r w:rsidRPr="00410333">
        <w:rPr>
          <w:rtl/>
        </w:rPr>
        <w:t xml:space="preserve"> </w:t>
      </w:r>
      <w:r w:rsidRPr="00410333">
        <w:t>2000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جوهانسبرغ،</w:t>
      </w:r>
      <w:r w:rsidRPr="00410333">
        <w:rPr>
          <w:rtl/>
        </w:rPr>
        <w:t xml:space="preserve"> </w:t>
      </w:r>
      <w:r w:rsidRPr="00410333"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</w:t>
      </w:r>
      <w:r w:rsidRPr="00410333">
        <w:rPr>
          <w:rtl/>
        </w:rPr>
        <w:t xml:space="preserve"> 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الحمامات،</w:t>
      </w:r>
      <w:r w:rsidRPr="00410333">
        <w:rPr>
          <w:rtl/>
        </w:rPr>
        <w:t xml:space="preserve"> </w:t>
      </w:r>
      <w:r w:rsidRPr="00410333">
        <w:t>2016</w:t>
      </w:r>
      <w:r w:rsidRPr="00410333">
        <w:rPr>
          <w:rtl/>
        </w:rPr>
        <w:t>)</w:t>
      </w:r>
    </w:p>
    <w:p w14:paraId="4E5824F6" w14:textId="77777777" w:rsidR="0043659F" w:rsidRDefault="00634E31" w:rsidP="00B17728">
      <w:pPr>
        <w:pStyle w:val="Normalaftertitle"/>
        <w:rPr>
          <w:noProof/>
          <w:rtl/>
          <w:lang w:bidi="ar-EG"/>
        </w:rPr>
      </w:pPr>
      <w:r w:rsidRPr="00410333">
        <w:rPr>
          <w:noProof/>
          <w:rtl/>
          <w:lang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bidi="ar-EG"/>
        </w:rPr>
        <w:t xml:space="preserve">الحمامات، </w:t>
      </w:r>
      <w:r w:rsidRPr="00410333">
        <w:rPr>
          <w:noProof/>
          <w:lang w:bidi="ar-EG"/>
        </w:rPr>
        <w:t>2016</w:t>
      </w:r>
      <w:r w:rsidRPr="00410333">
        <w:rPr>
          <w:noProof/>
          <w:rtl/>
          <w:lang w:bidi="ar-EG"/>
        </w:rPr>
        <w:t>)،</w:t>
      </w:r>
    </w:p>
    <w:p w14:paraId="268EC956" w14:textId="77777777" w:rsidR="00472EA4" w:rsidRPr="003521D6" w:rsidRDefault="00634E31" w:rsidP="00FF2620">
      <w:pPr>
        <w:pStyle w:val="Reasons"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b w:val="0"/>
          <w:bCs w:val="0"/>
          <w:rtl/>
          <w:lang w:bidi="ar-EG"/>
        </w:rPr>
      </w:pPr>
      <w:r w:rsidRPr="003521D6">
        <w:rPr>
          <w:rtl/>
        </w:rPr>
        <w:t>الأسباب</w:t>
      </w:r>
      <w:r w:rsidRPr="003521D6">
        <w:rPr>
          <w:b w:val="0"/>
          <w:bCs w:val="0"/>
          <w:rtl/>
        </w:rPr>
        <w:t>:</w:t>
      </w:r>
      <w:r w:rsidRPr="003521D6">
        <w:rPr>
          <w:b w:val="0"/>
          <w:bCs w:val="0"/>
        </w:rPr>
        <w:tab/>
      </w:r>
      <w:r w:rsidR="0000535D" w:rsidRPr="003521D6">
        <w:rPr>
          <w:rFonts w:hint="cs"/>
          <w:b w:val="0"/>
          <w:bCs w:val="0"/>
          <w:rtl/>
          <w:lang w:bidi="ar-EG"/>
        </w:rPr>
        <w:t xml:space="preserve">يتناول القرار </w:t>
      </w:r>
      <w:r w:rsidR="0000535D" w:rsidRPr="003521D6">
        <w:rPr>
          <w:b w:val="0"/>
          <w:bCs w:val="0"/>
          <w:lang w:bidi="ar-EG"/>
        </w:rPr>
        <w:t>208</w:t>
      </w:r>
      <w:r w:rsidR="0000535D" w:rsidRPr="003521D6">
        <w:rPr>
          <w:rFonts w:hint="cs"/>
          <w:b w:val="0"/>
          <w:bCs w:val="0"/>
          <w:rtl/>
          <w:lang w:bidi="ar-EG"/>
        </w:rPr>
        <w:t xml:space="preserve"> (دبي، </w:t>
      </w:r>
      <w:r w:rsidR="0000535D" w:rsidRPr="003521D6">
        <w:rPr>
          <w:b w:val="0"/>
          <w:bCs w:val="0"/>
          <w:lang w:bidi="ar-EG"/>
        </w:rPr>
        <w:t>2018</w:t>
      </w:r>
      <w:r w:rsidR="0000535D" w:rsidRPr="003521D6">
        <w:rPr>
          <w:rFonts w:hint="cs"/>
          <w:b w:val="0"/>
          <w:bCs w:val="0"/>
          <w:rtl/>
          <w:lang w:bidi="ar-EG"/>
        </w:rPr>
        <w:t xml:space="preserve">) لمؤتمر المندوبين المفوضين </w:t>
      </w:r>
      <w:r w:rsidR="003521D6" w:rsidRPr="003521D6">
        <w:rPr>
          <w:rFonts w:hint="cs"/>
          <w:b w:val="0"/>
          <w:bCs w:val="0"/>
          <w:rtl/>
          <w:lang w:bidi="ar-EG"/>
        </w:rPr>
        <w:t xml:space="preserve">تعيين الرؤساء في القطاعات الثلاثة. ويغطي جزء منطوق القرار 208 القرار </w:t>
      </w:r>
      <w:r w:rsidR="003521D6" w:rsidRPr="003521D6">
        <w:rPr>
          <w:b w:val="0"/>
          <w:bCs w:val="0"/>
          <w:lang w:bidi="ar-EG"/>
        </w:rPr>
        <w:t>35</w:t>
      </w:r>
      <w:r w:rsidR="003521D6" w:rsidRPr="003521D6">
        <w:rPr>
          <w:rFonts w:hint="cs"/>
          <w:b w:val="0"/>
          <w:bCs w:val="0"/>
          <w:rtl/>
          <w:lang w:bidi="ar-EG"/>
        </w:rPr>
        <w:t xml:space="preserve"> (المراجَع في الحمامات، </w:t>
      </w:r>
      <w:r w:rsidR="003521D6" w:rsidRPr="003521D6">
        <w:rPr>
          <w:b w:val="0"/>
          <w:bCs w:val="0"/>
          <w:lang w:bidi="ar-EG"/>
        </w:rPr>
        <w:t>2016</w:t>
      </w:r>
      <w:r w:rsidR="003521D6" w:rsidRPr="003521D6">
        <w:rPr>
          <w:rFonts w:hint="cs"/>
          <w:b w:val="0"/>
          <w:bCs w:val="0"/>
          <w:rtl/>
          <w:lang w:bidi="ar-EG"/>
        </w:rPr>
        <w:t>)</w:t>
      </w:r>
      <w:r w:rsidR="003521D6">
        <w:rPr>
          <w:rFonts w:hint="cs"/>
          <w:b w:val="0"/>
          <w:bCs w:val="0"/>
          <w:rtl/>
          <w:lang w:bidi="ar-EG"/>
        </w:rPr>
        <w:t xml:space="preserve"> للجمعية العالمية لتقييس الاتصالات. ونظراً إلى أن نص القرار 35 مشمول بالقرار 208 وأن مؤتمر المندوبين </w:t>
      </w:r>
      <w:r w:rsidR="008A56F2">
        <w:rPr>
          <w:rFonts w:hint="cs"/>
          <w:b w:val="0"/>
          <w:bCs w:val="0"/>
          <w:rtl/>
          <w:lang w:bidi="ar-EG"/>
        </w:rPr>
        <w:t>المفوضين لعام 2018 أقر بضرورة تبسيط القرارات، يُقترح إلغاء القرار 35.</w:t>
      </w:r>
    </w:p>
    <w:p w14:paraId="4ECEA529" w14:textId="77777777" w:rsidR="0000535D" w:rsidRPr="0000535D" w:rsidRDefault="0000535D" w:rsidP="0000535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</w:t>
      </w:r>
    </w:p>
    <w:sectPr w:rsidR="0000535D" w:rsidRPr="0000535D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5A13" w14:textId="77777777" w:rsidR="004038F1" w:rsidRDefault="004038F1" w:rsidP="002919E1">
      <w:r>
        <w:separator/>
      </w:r>
    </w:p>
    <w:p w14:paraId="4B858BEE" w14:textId="77777777" w:rsidR="004038F1" w:rsidRDefault="004038F1" w:rsidP="002919E1"/>
    <w:p w14:paraId="5D55FB35" w14:textId="77777777" w:rsidR="004038F1" w:rsidRDefault="004038F1" w:rsidP="002919E1"/>
    <w:p w14:paraId="4693009D" w14:textId="77777777" w:rsidR="004038F1" w:rsidRDefault="004038F1"/>
  </w:endnote>
  <w:endnote w:type="continuationSeparator" w:id="0">
    <w:p w14:paraId="4BB49E34" w14:textId="77777777" w:rsidR="004038F1" w:rsidRDefault="004038F1" w:rsidP="002919E1">
      <w:r>
        <w:continuationSeparator/>
      </w:r>
    </w:p>
    <w:p w14:paraId="6B261FB5" w14:textId="77777777" w:rsidR="004038F1" w:rsidRDefault="004038F1" w:rsidP="002919E1"/>
    <w:p w14:paraId="309B5565" w14:textId="77777777" w:rsidR="004038F1" w:rsidRDefault="004038F1" w:rsidP="002919E1"/>
    <w:p w14:paraId="5227DA3C" w14:textId="77777777" w:rsidR="004038F1" w:rsidRDefault="00403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EDD4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04128B">
      <w:rPr>
        <w:noProof/>
        <w:sz w:val="16"/>
        <w:szCs w:val="16"/>
        <w:lang w:val="fr-FR"/>
      </w:rPr>
      <w:t>P:\ARA\ITU-T\CONF-T\WTSA20\000\039ADD01A.docx</w:t>
    </w:r>
    <w:r w:rsidRPr="00FC7FD8">
      <w:rPr>
        <w:sz w:val="16"/>
        <w:szCs w:val="16"/>
      </w:rPr>
      <w:fldChar w:fldCharType="end"/>
    </w:r>
    <w:proofErr w:type="gramStart"/>
    <w:r w:rsidRPr="0000535D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EB0F26">
      <w:rPr>
        <w:sz w:val="16"/>
        <w:szCs w:val="16"/>
        <w:lang w:val="fr-FR"/>
      </w:rPr>
      <w:t>493231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AC5A" w14:textId="77777777" w:rsidR="004038F1" w:rsidRDefault="004038F1" w:rsidP="002919E1">
      <w:r>
        <w:t>___________________</w:t>
      </w:r>
    </w:p>
  </w:footnote>
  <w:footnote w:type="continuationSeparator" w:id="0">
    <w:p w14:paraId="5972A259" w14:textId="77777777" w:rsidR="004038F1" w:rsidRDefault="004038F1" w:rsidP="002919E1">
      <w:r>
        <w:continuationSeparator/>
      </w:r>
    </w:p>
    <w:p w14:paraId="1DCB23A6" w14:textId="77777777" w:rsidR="004038F1" w:rsidRDefault="004038F1" w:rsidP="002919E1"/>
    <w:p w14:paraId="15235FB0" w14:textId="77777777" w:rsidR="004038F1" w:rsidRDefault="004038F1" w:rsidP="002919E1"/>
    <w:p w14:paraId="091AA840" w14:textId="77777777" w:rsidR="004038F1" w:rsidRDefault="00403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D782" w14:textId="77777777" w:rsidR="00281F5F" w:rsidRDefault="00281F5F" w:rsidP="002919E1"/>
  <w:p w14:paraId="774B4CEC" w14:textId="77777777" w:rsidR="00281F5F" w:rsidRDefault="00281F5F" w:rsidP="002919E1"/>
  <w:p w14:paraId="1ED2EA8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A4B5" w14:textId="77777777" w:rsidR="00281F5F" w:rsidRPr="0088384B" w:rsidRDefault="00281F5F" w:rsidP="0000535D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00535D">
      <w:rPr>
        <w:rStyle w:val="PageNumber"/>
        <w:rFonts w:hint="cs"/>
        <w:rtl/>
        <w:lang w:bidi="ar-EG"/>
      </w:rPr>
      <w:t>الإضافة </w:t>
    </w:r>
    <w:r w:rsidR="0000535D">
      <w:rPr>
        <w:rStyle w:val="PageNumber"/>
        <w:lang w:bidi="ar-EG"/>
      </w:rPr>
      <w:t>1</w:t>
    </w:r>
    <w:r w:rsidR="0000535D">
      <w:rPr>
        <w:rStyle w:val="PageNumber"/>
        <w:rtl/>
        <w:lang w:bidi="ar-EG"/>
      </w:rPr>
      <w:br/>
    </w:r>
    <w:r w:rsidR="0000535D">
      <w:rPr>
        <w:rStyle w:val="PageNumber"/>
        <w:rFonts w:hint="cs"/>
        <w:rtl/>
        <w:lang w:bidi="ar-EG"/>
      </w:rPr>
      <w:t xml:space="preserve">للوثيقة </w:t>
    </w:r>
    <w:r w:rsidR="0000535D">
      <w:rPr>
        <w:rStyle w:val="PageNumber"/>
      </w:rPr>
      <w:t>39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0535D"/>
    <w:rsid w:val="00011021"/>
    <w:rsid w:val="000114EC"/>
    <w:rsid w:val="00011F8C"/>
    <w:rsid w:val="00022B74"/>
    <w:rsid w:val="0002327C"/>
    <w:rsid w:val="00034B65"/>
    <w:rsid w:val="00040C94"/>
    <w:rsid w:val="0004128B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4EF7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15BE"/>
    <w:rsid w:val="002E48BF"/>
    <w:rsid w:val="002E61C2"/>
    <w:rsid w:val="002F3E46"/>
    <w:rsid w:val="00311E3F"/>
    <w:rsid w:val="00314B1E"/>
    <w:rsid w:val="0033737F"/>
    <w:rsid w:val="003521D6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038F1"/>
    <w:rsid w:val="004147B9"/>
    <w:rsid w:val="00422C04"/>
    <w:rsid w:val="00423A40"/>
    <w:rsid w:val="00426144"/>
    <w:rsid w:val="004636E2"/>
    <w:rsid w:val="00470CBD"/>
    <w:rsid w:val="00472EA4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3DAC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34E31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56F2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5391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14AD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3F08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5BE4"/>
    <w:rsid w:val="00DE7387"/>
    <w:rsid w:val="00DF2A6A"/>
    <w:rsid w:val="00DF3B72"/>
    <w:rsid w:val="00E06BDA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0F26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2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5B3701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T17-WTSA.20-C-0039!A1!MSW-A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D3B4AC-1782-4A8C-AE49-75061067B1D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CDA6B-F251-4733-966A-8AAF4427A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16D0D-65B5-4D55-8072-09D3D20A4F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T17-WTSA.20-C-0039!A1!MSW-A</vt:lpstr>
    </vt:vector>
  </TitlesOfParts>
  <Manager>General Secretariat - Pool</Manager>
  <Company>International Telecommunication Union (ITU)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T17-WTSA.20-C-0039!A1!MSW-A</dc:title>
  <dc:creator>Documents Proposals Manager (DPM)</dc:creator>
  <cp:keywords>DPM_v2021.3.2.1_prod</cp:keywords>
  <cp:lastModifiedBy>Arabic</cp:lastModifiedBy>
  <cp:revision>4</cp:revision>
  <cp:lastPrinted>2019-06-26T10:10:00Z</cp:lastPrinted>
  <dcterms:created xsi:type="dcterms:W3CDTF">2021-09-30T07:37:00Z</dcterms:created>
  <dcterms:modified xsi:type="dcterms:W3CDTF">2021-10-01T16:49:00Z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