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FFC0186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63945722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CDF9967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390CED6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70A4361" wp14:editId="1FC7A98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56C411E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D3569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AE6BD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6DF33949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0AFB36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153FBE4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D9A3506" w14:textId="77777777" w:rsidTr="00E2414B">
        <w:trPr>
          <w:cantSplit/>
        </w:trPr>
        <w:tc>
          <w:tcPr>
            <w:tcW w:w="6614" w:type="dxa"/>
          </w:tcPr>
          <w:p w14:paraId="26E98F18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69236302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38 (Add.30)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341A270D" w14:textId="77777777" w:rsidTr="00E2414B">
        <w:trPr>
          <w:cantSplit/>
        </w:trPr>
        <w:tc>
          <w:tcPr>
            <w:tcW w:w="6614" w:type="dxa"/>
          </w:tcPr>
          <w:p w14:paraId="6FF0CCDE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3F04881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3324C29" w14:textId="77777777" w:rsidTr="00E2414B">
        <w:trPr>
          <w:cantSplit/>
        </w:trPr>
        <w:tc>
          <w:tcPr>
            <w:tcW w:w="6614" w:type="dxa"/>
          </w:tcPr>
          <w:p w14:paraId="6A58DB5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6DE271B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35B43126" w14:textId="77777777" w:rsidTr="00E2414B">
        <w:trPr>
          <w:cantSplit/>
        </w:trPr>
        <w:tc>
          <w:tcPr>
            <w:tcW w:w="9811" w:type="dxa"/>
            <w:gridSpan w:val="2"/>
          </w:tcPr>
          <w:p w14:paraId="5BA074F8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3E93B1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CCE5D96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01218C4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58C4435" w14:textId="30FB795F" w:rsidR="000A3B30" w:rsidRPr="00400909" w:rsidRDefault="00CA5BA2" w:rsidP="00E2414B">
            <w:pPr>
              <w:pStyle w:val="Title1"/>
              <w:rPr>
                <w:rFonts w:ascii="Verdana" w:hAnsi="Verdana"/>
              </w:rPr>
            </w:pPr>
            <w:r w:rsidRPr="00CA5BA2">
              <w:rPr>
                <w:rFonts w:hint="eastAsia"/>
              </w:rPr>
              <w:t>提议保留第</w:t>
            </w:r>
            <w:r w:rsidRPr="00CA5BA2">
              <w:rPr>
                <w:rFonts w:hint="eastAsia"/>
              </w:rPr>
              <w:t>2</w:t>
            </w:r>
            <w:r w:rsidRPr="00CA5BA2">
              <w:rPr>
                <w:rFonts w:hint="eastAsia"/>
              </w:rPr>
              <w:t>号决议</w:t>
            </w:r>
          </w:p>
        </w:tc>
      </w:tr>
      <w:tr w:rsidR="000A3B30" w14:paraId="0F46DB7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F0F76A0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46215630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2C5EA65F" w14:textId="77777777" w:rsidR="000A3B30" w:rsidRPr="000273B7" w:rsidRDefault="000A3B30" w:rsidP="00E2414B">
            <w:pPr>
              <w:pStyle w:val="Agendaitem"/>
            </w:pPr>
          </w:p>
        </w:tc>
      </w:tr>
    </w:tbl>
    <w:p w14:paraId="07F45AD0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14787170" w14:textId="77777777" w:rsidTr="004913CE">
        <w:trPr>
          <w:cantSplit/>
        </w:trPr>
        <w:tc>
          <w:tcPr>
            <w:tcW w:w="1276" w:type="dxa"/>
          </w:tcPr>
          <w:p w14:paraId="444C9C34" w14:textId="77777777"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4A114B09" w14:textId="77777777" w:rsidR="003556C0" w:rsidRPr="00BD7C7C" w:rsidRDefault="005E4E24" w:rsidP="00231452">
            <w:pPr>
              <w:rPr>
                <w:highlight w:val="yellow"/>
                <w:lang w:eastAsia="zh-CN"/>
              </w:rPr>
            </w:pPr>
            <w:bookmarkStart w:id="1" w:name="_Hlk94620371"/>
            <w:r w:rsidRPr="00045628">
              <w:rPr>
                <w:rFonts w:hint="eastAsia"/>
                <w:lang w:eastAsia="zh-CN"/>
              </w:rPr>
              <w:t>我们</w:t>
            </w:r>
            <w:r>
              <w:rPr>
                <w:rFonts w:hint="eastAsia"/>
                <w:lang w:eastAsia="zh-CN"/>
              </w:rPr>
              <w:t>提议</w:t>
            </w:r>
            <w:r w:rsidRPr="00045628">
              <w:rPr>
                <w:rFonts w:hint="eastAsia"/>
                <w:lang w:eastAsia="zh-CN"/>
              </w:rPr>
              <w:t>对</w:t>
            </w:r>
            <w:r w:rsidRPr="00045628">
              <w:rPr>
                <w:rFonts w:hint="eastAsia"/>
                <w:lang w:eastAsia="zh-CN"/>
              </w:rPr>
              <w:t>WTSA-20</w:t>
            </w:r>
            <w:r w:rsidRPr="00045628">
              <w:rPr>
                <w:rFonts w:hint="eastAsia"/>
                <w:lang w:eastAsia="zh-CN"/>
              </w:rPr>
              <w:t>第</w:t>
            </w:r>
            <w:r w:rsidRPr="00045628">
              <w:rPr>
                <w:rFonts w:hint="eastAsia"/>
                <w:lang w:eastAsia="zh-CN"/>
              </w:rPr>
              <w:t>2</w:t>
            </w:r>
            <w:r w:rsidRPr="00045628">
              <w:rPr>
                <w:rFonts w:hint="eastAsia"/>
                <w:lang w:eastAsia="zh-CN"/>
              </w:rPr>
              <w:t>号决议进行</w:t>
            </w:r>
            <w:r w:rsidRPr="00CE799C">
              <w:rPr>
                <w:rFonts w:hint="eastAsia"/>
                <w:lang w:eastAsia="zh-CN"/>
              </w:rPr>
              <w:t>“无整体修改”</w:t>
            </w:r>
            <w:r w:rsidRPr="00045628">
              <w:rPr>
                <w:rFonts w:hint="eastAsia"/>
                <w:lang w:eastAsia="zh-CN"/>
              </w:rPr>
              <w:t>（</w:t>
            </w:r>
            <w:r w:rsidRPr="00045628">
              <w:rPr>
                <w:rFonts w:hint="eastAsia"/>
                <w:lang w:eastAsia="zh-CN"/>
              </w:rPr>
              <w:t>NOC</w:t>
            </w:r>
            <w:r w:rsidRPr="00045628">
              <w:rPr>
                <w:rFonts w:hint="eastAsia"/>
                <w:lang w:eastAsia="zh-CN"/>
              </w:rPr>
              <w:t>），以便在</w:t>
            </w:r>
            <w:r w:rsidRPr="00045628">
              <w:rPr>
                <w:rFonts w:hint="eastAsia"/>
                <w:lang w:eastAsia="zh-CN"/>
              </w:rPr>
              <w:t>WTSA-24</w:t>
            </w:r>
            <w:r>
              <w:rPr>
                <w:rFonts w:hint="eastAsia"/>
                <w:lang w:eastAsia="zh-CN"/>
              </w:rPr>
              <w:t>上</w:t>
            </w:r>
            <w:r w:rsidRPr="00045628">
              <w:rPr>
                <w:rFonts w:hint="eastAsia"/>
                <w:lang w:eastAsia="zh-CN"/>
              </w:rPr>
              <w:t>对</w:t>
            </w:r>
            <w:r w:rsidRPr="00045628">
              <w:rPr>
                <w:rFonts w:hint="eastAsia"/>
                <w:lang w:eastAsia="zh-CN"/>
              </w:rPr>
              <w:t>ITU-T</w:t>
            </w:r>
            <w:r w:rsidRPr="00045628">
              <w:rPr>
                <w:rFonts w:hint="eastAsia"/>
                <w:lang w:eastAsia="zh-CN"/>
              </w:rPr>
              <w:t>研究组进行全面重组并达成一致。</w:t>
            </w:r>
            <w:bookmarkEnd w:id="1"/>
          </w:p>
        </w:tc>
      </w:tr>
      <w:tr w:rsidR="004913CE" w:rsidRPr="00426748" w14:paraId="026B293E" w14:textId="77777777" w:rsidTr="00DA3F75">
        <w:trPr>
          <w:cantSplit/>
        </w:trPr>
        <w:tc>
          <w:tcPr>
            <w:tcW w:w="1276" w:type="dxa"/>
          </w:tcPr>
          <w:p w14:paraId="6BA48F01" w14:textId="77777777" w:rsidR="004913CE" w:rsidRPr="001051B1" w:rsidRDefault="004913CE" w:rsidP="004913CE">
            <w:pPr>
              <w:rPr>
                <w:b/>
                <w:bCs/>
              </w:rPr>
            </w:pPr>
            <w:r w:rsidRPr="004913CE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4267" w:type="dxa"/>
          </w:tcPr>
          <w:p w14:paraId="230F17D8" w14:textId="783D6E9B" w:rsidR="004913CE" w:rsidRPr="00BD7C7C" w:rsidRDefault="005E4E24" w:rsidP="004913CE">
            <w:pPr>
              <w:rPr>
                <w:highlight w:val="yellow"/>
              </w:rPr>
            </w:pPr>
            <w:r w:rsidRPr="005E4E24">
              <w:t>Paul Redwin</w:t>
            </w:r>
            <w:r w:rsidRPr="005E4E24">
              <w:br/>
              <w:t>DCMS</w:t>
            </w:r>
            <w:r w:rsidRPr="005E4E24">
              <w:br/>
            </w:r>
            <w:r w:rsidRPr="005E4E24">
              <w:rPr>
                <w:rFonts w:hint="eastAsia"/>
              </w:rPr>
              <w:t>大不列颠及北爱尔兰联合王</w:t>
            </w:r>
            <w:r w:rsidR="009A64DF">
              <w:rPr>
                <w:rFonts w:hint="eastAsia"/>
                <w:lang w:eastAsia="zh-CN"/>
              </w:rPr>
              <w:t>国</w:t>
            </w:r>
          </w:p>
        </w:tc>
        <w:tc>
          <w:tcPr>
            <w:tcW w:w="4268" w:type="dxa"/>
          </w:tcPr>
          <w:p w14:paraId="15128453" w14:textId="77777777" w:rsidR="004913CE" w:rsidRPr="00BD7C7C" w:rsidRDefault="005E4E24" w:rsidP="004913CE">
            <w:pPr>
              <w:rPr>
                <w:highlight w:val="yellow"/>
                <w:lang w:eastAsia="zh-CN"/>
              </w:rPr>
            </w:pPr>
            <w:r w:rsidRPr="005E4E24">
              <w:rPr>
                <w:rFonts w:hint="eastAsia"/>
                <w:lang w:eastAsia="zh-CN"/>
              </w:rPr>
              <w:t>电子邮件：</w:t>
            </w:r>
            <w:hyperlink r:id="rId10" w:history="1">
              <w:r w:rsidRPr="005E4E24">
                <w:rPr>
                  <w:rStyle w:val="Hyperlink"/>
                  <w:lang w:eastAsia="zh-CN"/>
                </w:rPr>
                <w:t>paul.redwin@dcms.gov.uk</w:t>
              </w:r>
            </w:hyperlink>
          </w:p>
        </w:tc>
      </w:tr>
    </w:tbl>
    <w:p w14:paraId="6419CEC4" w14:textId="77777777" w:rsidR="005C7B12" w:rsidRPr="00F7417E" w:rsidRDefault="005C7B12" w:rsidP="00F7417E">
      <w:pPr>
        <w:rPr>
          <w:lang w:eastAsia="zh-CN"/>
        </w:rPr>
      </w:pPr>
    </w:p>
    <w:p w14:paraId="4D1E2B97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197B3067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5FC8C27" w14:textId="77777777" w:rsidR="0012016E" w:rsidRDefault="00004479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EUR/38A30/1</w:t>
      </w:r>
    </w:p>
    <w:p w14:paraId="64997880" w14:textId="77777777" w:rsidR="009F6CC0" w:rsidRPr="00A0765B" w:rsidRDefault="00004479" w:rsidP="009F6CC0">
      <w:pPr>
        <w:pStyle w:val="ResNo"/>
        <w:rPr>
          <w:lang w:eastAsia="zh-CN"/>
        </w:rPr>
      </w:pPr>
      <w:bookmarkStart w:id="2" w:name="_Toc219521688"/>
      <w:bookmarkStart w:id="3" w:name="_Toc477941697"/>
      <w:bookmarkStart w:id="4" w:name="_Toc478043524"/>
      <w:bookmarkStart w:id="5" w:name="_Toc478044951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</w:t>
      </w:r>
      <w:r w:rsidRPr="0038451B">
        <w:rPr>
          <w:rStyle w:val="href"/>
          <w:rFonts w:hint="eastAsia"/>
        </w:rPr>
        <w:t>号决议</w:t>
      </w:r>
      <w:bookmarkEnd w:id="2"/>
      <w:r w:rsidRPr="0091152A">
        <w:rPr>
          <w:rFonts w:ascii="SimSun" w:hAnsi="SimSun" w:cs="SimSun" w:hint="eastAsia"/>
          <w:lang w:eastAsia="zh-CN"/>
        </w:rPr>
        <w:t>（</w:t>
      </w:r>
      <w:r w:rsidRPr="0091152A">
        <w:rPr>
          <w:rFonts w:eastAsia="Times New Roman"/>
          <w:lang w:eastAsia="zh-CN"/>
        </w:rPr>
        <w:t>2016</w:t>
      </w:r>
      <w:r w:rsidRPr="0091152A">
        <w:rPr>
          <w:rFonts w:ascii="SimSun" w:hAnsi="SimSun" w:cs="SimSun" w:hint="eastAsia"/>
          <w:lang w:eastAsia="zh-CN"/>
        </w:rPr>
        <w:t>年，哈马马特，修订版）</w:t>
      </w:r>
      <w:bookmarkEnd w:id="3"/>
      <w:bookmarkEnd w:id="4"/>
      <w:bookmarkEnd w:id="5"/>
    </w:p>
    <w:p w14:paraId="6EB0B983" w14:textId="77777777" w:rsidR="009F6CC0" w:rsidRPr="00A0765B" w:rsidRDefault="00004479" w:rsidP="009F6CC0">
      <w:pPr>
        <w:pStyle w:val="Restitle"/>
        <w:rPr>
          <w:lang w:eastAsia="zh-CN"/>
        </w:rPr>
      </w:pPr>
      <w:bookmarkStart w:id="6" w:name="_Toc219521689"/>
      <w:bookmarkStart w:id="7" w:name="_Toc348252426"/>
      <w:bookmarkStart w:id="8" w:name="_Toc478043525"/>
      <w:bookmarkStart w:id="9" w:name="_Toc478044952"/>
      <w:r w:rsidRPr="00A0765B">
        <w:rPr>
          <w:rFonts w:hint="eastAsia"/>
          <w:lang w:eastAsia="zh-CN"/>
        </w:rPr>
        <w:t>国际电联电信标准化部门研究组的责任与职权</w:t>
      </w:r>
      <w:bookmarkEnd w:id="6"/>
      <w:bookmarkEnd w:id="7"/>
      <w:bookmarkEnd w:id="8"/>
      <w:bookmarkEnd w:id="9"/>
    </w:p>
    <w:p w14:paraId="0CC9CFD4" w14:textId="77777777" w:rsidR="009F6CC0" w:rsidRPr="00A0765B" w:rsidRDefault="00004479" w:rsidP="00124DE8">
      <w:pPr>
        <w:pStyle w:val="Resref"/>
        <w:rPr>
          <w:lang w:eastAsia="zh-CN"/>
        </w:rPr>
      </w:pPr>
      <w:r w:rsidRPr="00A0765B">
        <w:rPr>
          <w:rFonts w:hint="eastAsia"/>
          <w:lang w:eastAsia="zh-CN"/>
        </w:rPr>
        <w:t>（</w:t>
      </w:r>
      <w:r w:rsidRPr="00A0765B">
        <w:rPr>
          <w:lang w:eastAsia="zh-CN"/>
        </w:rPr>
        <w:t>1993</w:t>
      </w:r>
      <w:r w:rsidRPr="00A0765B">
        <w:rPr>
          <w:rFonts w:hint="eastAsia"/>
          <w:lang w:eastAsia="zh-CN"/>
        </w:rPr>
        <w:t>年，赫尔辛基；</w:t>
      </w:r>
      <w:r w:rsidRPr="00A0765B">
        <w:rPr>
          <w:lang w:eastAsia="zh-CN"/>
        </w:rPr>
        <w:t>1996</w:t>
      </w:r>
      <w:r w:rsidRPr="00A0765B">
        <w:rPr>
          <w:rFonts w:hint="eastAsia"/>
          <w:lang w:eastAsia="zh-CN"/>
        </w:rPr>
        <w:t>年，日内瓦；</w:t>
      </w:r>
      <w:r w:rsidRPr="00A0765B">
        <w:rPr>
          <w:lang w:eastAsia="zh-CN"/>
        </w:rPr>
        <w:t>2000</w:t>
      </w:r>
      <w:r w:rsidRPr="00A0765B">
        <w:rPr>
          <w:rFonts w:hint="eastAsia"/>
          <w:lang w:eastAsia="zh-CN"/>
        </w:rPr>
        <w:t>年，蒙特利尔；</w:t>
      </w:r>
      <w:r w:rsidRPr="00A0765B">
        <w:rPr>
          <w:lang w:eastAsia="zh-CN"/>
        </w:rPr>
        <w:t>2004</w:t>
      </w:r>
      <w:r w:rsidRPr="00A0765B">
        <w:rPr>
          <w:rFonts w:hint="eastAsia"/>
          <w:lang w:eastAsia="zh-CN"/>
        </w:rPr>
        <w:t>年，弗洛里亚诺波利斯；</w:t>
      </w:r>
      <w:r w:rsidRPr="00A0765B">
        <w:rPr>
          <w:lang w:eastAsia="zh-CN"/>
        </w:rPr>
        <w:t>2008</w:t>
      </w:r>
      <w:r w:rsidRPr="00A0765B">
        <w:rPr>
          <w:rFonts w:hint="eastAsia"/>
          <w:lang w:eastAsia="zh-CN"/>
        </w:rPr>
        <w:t>年，约翰内斯堡；</w:t>
      </w:r>
      <w:r w:rsidRPr="00A0765B">
        <w:rPr>
          <w:lang w:eastAsia="zh-CN"/>
        </w:rPr>
        <w:t>2009</w:t>
      </w:r>
      <w:r w:rsidRPr="00A0765B">
        <w:rPr>
          <w:rFonts w:hint="eastAsia"/>
          <w:lang w:eastAsia="zh-CN"/>
        </w:rPr>
        <w:t>年</w:t>
      </w:r>
      <w:r w:rsidRPr="00120FC2">
        <w:rPr>
          <w:rStyle w:val="FootnoteReference"/>
          <w:lang w:eastAsia="zh-CN"/>
        </w:rPr>
        <w:footnoteReference w:customMarkFollows="1" w:id="1"/>
        <w:t>1</w:t>
      </w:r>
      <w:r w:rsidRPr="00A0765B">
        <w:rPr>
          <w:rFonts w:hint="eastAsia"/>
          <w:lang w:eastAsia="zh-CN"/>
        </w:rPr>
        <w:t>；</w:t>
      </w:r>
      <w:r w:rsidRPr="00A0765B">
        <w:rPr>
          <w:lang w:eastAsia="zh-CN"/>
        </w:rPr>
        <w:t>2012</w:t>
      </w:r>
      <w:r w:rsidRPr="00A0765B">
        <w:rPr>
          <w:rFonts w:hint="eastAsia"/>
          <w:lang w:eastAsia="zh-CN"/>
        </w:rPr>
        <w:t>年，迪拜；</w:t>
      </w:r>
      <w:r w:rsidRPr="00A0765B">
        <w:rPr>
          <w:lang w:eastAsia="zh-CN"/>
        </w:rPr>
        <w:t>2015</w:t>
      </w:r>
      <w:r w:rsidRPr="00A0765B">
        <w:rPr>
          <w:rFonts w:hint="eastAsia"/>
          <w:lang w:eastAsia="zh-CN"/>
        </w:rPr>
        <w:t>年</w:t>
      </w:r>
      <w:r w:rsidRPr="00120FC2">
        <w:rPr>
          <w:rStyle w:val="FootnoteReference"/>
          <w:lang w:eastAsia="zh-CN"/>
        </w:rPr>
        <w:footnoteReference w:customMarkFollows="1" w:id="2"/>
        <w:t>2</w:t>
      </w:r>
      <w:r w:rsidRPr="00A0765B">
        <w:rPr>
          <w:rFonts w:hint="eastAsia"/>
          <w:lang w:eastAsia="zh-CN"/>
        </w:rPr>
        <w:t>；</w:t>
      </w:r>
      <w:r w:rsidRPr="00A0765B">
        <w:rPr>
          <w:lang w:eastAsia="zh-CN"/>
        </w:rPr>
        <w:t>2016</w:t>
      </w:r>
      <w:r w:rsidRPr="00A0765B">
        <w:rPr>
          <w:rFonts w:hint="eastAsia"/>
          <w:lang w:eastAsia="zh-CN"/>
        </w:rPr>
        <w:t>年</w:t>
      </w:r>
      <w:r w:rsidRPr="00120FC2">
        <w:rPr>
          <w:rStyle w:val="FootnoteReference"/>
          <w:lang w:eastAsia="zh-CN"/>
        </w:rPr>
        <w:footnoteReference w:customMarkFollows="1" w:id="3"/>
        <w:t>3</w:t>
      </w:r>
      <w:r w:rsidRPr="00A0765B">
        <w:rPr>
          <w:rFonts w:hint="eastAsia"/>
          <w:lang w:eastAsia="zh-CN"/>
        </w:rPr>
        <w:t>；</w:t>
      </w:r>
      <w:r w:rsidRPr="00A0765B">
        <w:rPr>
          <w:lang w:eastAsia="zh-CN"/>
        </w:rPr>
        <w:t>2016</w:t>
      </w:r>
      <w:r w:rsidRPr="00A0765B">
        <w:rPr>
          <w:rFonts w:hint="eastAsia"/>
          <w:lang w:eastAsia="zh-CN"/>
        </w:rPr>
        <w:t>年，哈马马特）</w:t>
      </w:r>
    </w:p>
    <w:p w14:paraId="3536A799" w14:textId="77777777" w:rsidR="009F6CC0" w:rsidRPr="00A0765B" w:rsidRDefault="00004479" w:rsidP="009F6CC0">
      <w:pPr>
        <w:pStyle w:val="Normalaftertitle"/>
        <w:rPr>
          <w:lang w:eastAsia="zh-CN"/>
        </w:rPr>
      </w:pPr>
      <w:r w:rsidRPr="00A0765B">
        <w:rPr>
          <w:rFonts w:hint="eastAsia"/>
          <w:lang w:eastAsia="zh-CN"/>
        </w:rPr>
        <w:t>世界电信标准化全会（</w:t>
      </w:r>
      <w:r w:rsidRPr="00A0765B">
        <w:rPr>
          <w:lang w:eastAsia="zh-CN"/>
        </w:rPr>
        <w:t>2016</w:t>
      </w:r>
      <w:r w:rsidRPr="00A0765B">
        <w:rPr>
          <w:rFonts w:hint="eastAsia"/>
          <w:lang w:eastAsia="zh-CN"/>
        </w:rPr>
        <w:t>年，</w:t>
      </w:r>
      <w:r w:rsidRPr="008A1CAC">
        <w:rPr>
          <w:rFonts w:ascii="SimSun" w:hAnsi="SimSun" w:hint="eastAsia"/>
          <w:iCs/>
          <w:lang w:eastAsia="zh-CN"/>
        </w:rPr>
        <w:t>哈马马特</w:t>
      </w:r>
      <w:r w:rsidRPr="00A0765B">
        <w:rPr>
          <w:rFonts w:hint="eastAsia"/>
          <w:lang w:eastAsia="zh-CN"/>
        </w:rPr>
        <w:t>），</w:t>
      </w:r>
    </w:p>
    <w:p w14:paraId="0CC8592C" w14:textId="77777777" w:rsidR="009F6CC0" w:rsidRPr="00A0765B" w:rsidRDefault="00004479" w:rsidP="001D01A7">
      <w:pPr>
        <w:pStyle w:val="PartNo"/>
        <w:rPr>
          <w:lang w:eastAsia="zh-CN"/>
        </w:rPr>
      </w:pPr>
      <w:r w:rsidRPr="00AA65B8">
        <w:rPr>
          <w:rFonts w:hint="eastAsia"/>
          <w:lang w:eastAsia="zh-CN"/>
        </w:rPr>
        <w:t>第</w:t>
      </w:r>
      <w:r w:rsidRPr="00AA65B8">
        <w:rPr>
          <w:lang w:eastAsia="zh-CN"/>
        </w:rPr>
        <w:t>2</w:t>
      </w:r>
      <w:r w:rsidRPr="00AA65B8">
        <w:rPr>
          <w:rFonts w:hint="eastAsia"/>
          <w:lang w:eastAsia="zh-CN"/>
        </w:rPr>
        <w:t>部分</w:t>
      </w:r>
      <w:r w:rsidRPr="00AA65B8">
        <w:rPr>
          <w:lang w:eastAsia="zh-CN"/>
        </w:rPr>
        <w:t xml:space="preserve"> – </w:t>
      </w:r>
      <w:r w:rsidRPr="00AA65B8">
        <w:rPr>
          <w:rFonts w:hint="eastAsia"/>
          <w:lang w:eastAsia="zh-CN"/>
        </w:rPr>
        <w:t>具体研究领域的</w:t>
      </w:r>
      <w:r w:rsidRPr="00AA65B8">
        <w:rPr>
          <w:lang w:eastAsia="zh-CN"/>
        </w:rPr>
        <w:t>ITU-T</w:t>
      </w:r>
      <w:r w:rsidRPr="00AA65B8">
        <w:rPr>
          <w:rFonts w:hint="eastAsia"/>
          <w:lang w:eastAsia="zh-CN"/>
        </w:rPr>
        <w:t>牵头研究组</w:t>
      </w:r>
    </w:p>
    <w:p w14:paraId="7D11B67C" w14:textId="77777777" w:rsidR="003D434E" w:rsidRDefault="005E4E24" w:rsidP="00411C49">
      <w:pPr>
        <w:pStyle w:val="Reasons"/>
        <w:rPr>
          <w:lang w:eastAsia="zh-CN"/>
        </w:rPr>
      </w:pPr>
      <w:r w:rsidRPr="005E4E24">
        <w:rPr>
          <w:rFonts w:hint="eastAsia"/>
          <w:b/>
          <w:lang w:eastAsia="zh-CN"/>
        </w:rPr>
        <w:t>理由：</w:t>
      </w:r>
      <w:r w:rsidRPr="005E4E24">
        <w:rPr>
          <w:lang w:eastAsia="zh-CN"/>
        </w:rPr>
        <w:tab/>
      </w:r>
      <w:r w:rsidRPr="005E4E24">
        <w:rPr>
          <w:rFonts w:hint="eastAsia"/>
          <w:lang w:eastAsia="zh-CN"/>
        </w:rPr>
        <w:t>我们提议对</w:t>
      </w:r>
      <w:r w:rsidRPr="005E4E24">
        <w:rPr>
          <w:rFonts w:hint="eastAsia"/>
          <w:lang w:eastAsia="zh-CN"/>
        </w:rPr>
        <w:t>WTSA-20</w:t>
      </w:r>
      <w:r w:rsidRPr="005E4E24">
        <w:rPr>
          <w:rFonts w:hint="eastAsia"/>
          <w:lang w:eastAsia="zh-CN"/>
        </w:rPr>
        <w:t>第</w:t>
      </w:r>
      <w:r w:rsidRPr="005E4E24">
        <w:rPr>
          <w:rFonts w:hint="eastAsia"/>
          <w:lang w:eastAsia="zh-CN"/>
        </w:rPr>
        <w:t>2</w:t>
      </w:r>
      <w:r w:rsidRPr="005E4E24">
        <w:rPr>
          <w:rFonts w:hint="eastAsia"/>
          <w:lang w:eastAsia="zh-CN"/>
        </w:rPr>
        <w:t>号决议进行“无整体修改”（</w:t>
      </w:r>
      <w:r w:rsidRPr="005E4E24">
        <w:rPr>
          <w:rFonts w:hint="eastAsia"/>
          <w:lang w:eastAsia="zh-CN"/>
        </w:rPr>
        <w:t>NOC</w:t>
      </w:r>
      <w:r w:rsidRPr="005E4E24">
        <w:rPr>
          <w:rFonts w:hint="eastAsia"/>
          <w:lang w:eastAsia="zh-CN"/>
        </w:rPr>
        <w:t>），以便在</w:t>
      </w:r>
      <w:r w:rsidRPr="005E4E24">
        <w:rPr>
          <w:rFonts w:hint="eastAsia"/>
          <w:lang w:eastAsia="zh-CN"/>
        </w:rPr>
        <w:t>WTSA-24</w:t>
      </w:r>
      <w:r w:rsidRPr="005E4E24">
        <w:rPr>
          <w:rFonts w:hint="eastAsia"/>
          <w:lang w:eastAsia="zh-CN"/>
        </w:rPr>
        <w:t>上对</w:t>
      </w:r>
      <w:r w:rsidRPr="005E4E24">
        <w:rPr>
          <w:rFonts w:hint="eastAsia"/>
          <w:lang w:eastAsia="zh-CN"/>
        </w:rPr>
        <w:t>ITU-T</w:t>
      </w:r>
      <w:r w:rsidRPr="005E4E24">
        <w:rPr>
          <w:rFonts w:hint="eastAsia"/>
          <w:lang w:eastAsia="zh-CN"/>
        </w:rPr>
        <w:t>研究组进行全面重组并达成一致。</w:t>
      </w:r>
    </w:p>
    <w:p w14:paraId="2B92BA85" w14:textId="77777777" w:rsidR="0012016E" w:rsidRDefault="003D434E" w:rsidP="003D434E">
      <w:pPr>
        <w:jc w:val="center"/>
      </w:pPr>
      <w:r>
        <w:t>______________</w:t>
      </w:r>
    </w:p>
    <w:sectPr w:rsidR="0012016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275A" w14:textId="77777777" w:rsidR="00B87826" w:rsidRDefault="00B87826">
      <w:r>
        <w:separator/>
      </w:r>
    </w:p>
  </w:endnote>
  <w:endnote w:type="continuationSeparator" w:id="0">
    <w:p w14:paraId="65C328D3" w14:textId="77777777" w:rsidR="00B87826" w:rsidRDefault="00B8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2284" w14:textId="77777777" w:rsidR="00B851D4" w:rsidRPr="00DA0469" w:rsidRDefault="009A64DF" w:rsidP="00231452">
    <w:pPr>
      <w:pStyle w:val="Footer"/>
      <w:rPr>
        <w:lang w:val="en-US"/>
      </w:rPr>
    </w:pPr>
    <w:fldSimple w:instr=" FILENAME \p  \* MERGEFORMAT ">
      <w:r w:rsidR="005E4E24" w:rsidRPr="005E4E24">
        <w:t>P:\CHI\ITU-T\CONF-T\WTSA20\000\038ADD30C.docx</w:t>
      </w:r>
    </w:fldSimple>
    <w:r w:rsidR="005E4E24" w:rsidRPr="005E4E24">
      <w:t xml:space="preserve"> (</w:t>
    </w:r>
    <w:r w:rsidR="005E4E24" w:rsidRPr="005E4E24">
      <w:rPr>
        <w:rFonts w:hint="eastAsia"/>
      </w:rPr>
      <w:t>501064</w:t>
    </w:r>
    <w:r w:rsidR="005E4E24" w:rsidRPr="005E4E2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5C9" w14:textId="77777777" w:rsidR="005E4E24" w:rsidRDefault="009A64DF">
    <w:pPr>
      <w:pStyle w:val="Footer"/>
    </w:pPr>
    <w:fldSimple w:instr=" FILENAME \p  \* MERGEFORMAT ">
      <w:r w:rsidR="005E4E24" w:rsidRPr="005E4E24">
        <w:t>P:\CHI\ITU-T\CONF-T\WTSA20\000\038ADD30C.docx</w:t>
      </w:r>
    </w:fldSimple>
    <w:r w:rsidR="005E4E24" w:rsidRPr="005E4E24">
      <w:t xml:space="preserve"> (</w:t>
    </w:r>
    <w:r w:rsidR="005E4E24" w:rsidRPr="005E4E24">
      <w:rPr>
        <w:rFonts w:hint="eastAsia"/>
      </w:rPr>
      <w:t>501064</w:t>
    </w:r>
    <w:r w:rsidR="005E4E24" w:rsidRPr="005E4E2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1F85" w14:textId="77777777" w:rsidR="00B87826" w:rsidRDefault="00B87826">
      <w:r>
        <w:t>____________________</w:t>
      </w:r>
    </w:p>
  </w:footnote>
  <w:footnote w:type="continuationSeparator" w:id="0">
    <w:p w14:paraId="740E412D" w14:textId="77777777" w:rsidR="00B87826" w:rsidRDefault="00B87826">
      <w:r>
        <w:continuationSeparator/>
      </w:r>
    </w:p>
  </w:footnote>
  <w:footnote w:id="1">
    <w:p w14:paraId="4F2BC600" w14:textId="77777777" w:rsidR="00871503" w:rsidRPr="00871503" w:rsidRDefault="00004479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2009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日同意对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研究组的职责进行修改。</w:t>
      </w:r>
    </w:p>
  </w:footnote>
  <w:footnote w:id="2">
    <w:p w14:paraId="5D57E090" w14:textId="77777777" w:rsidR="00871503" w:rsidRPr="00871503" w:rsidRDefault="00004479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于</w:t>
      </w:r>
      <w:r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5</w:t>
      </w:r>
      <w:r>
        <w:rPr>
          <w:rFonts w:hint="eastAsia"/>
          <w:lang w:eastAsia="zh-CN"/>
        </w:rPr>
        <w:t>日创建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lang w:eastAsia="zh-CN"/>
        </w:rPr>
        <w:t>20</w:t>
      </w:r>
      <w:r>
        <w:rPr>
          <w:rFonts w:hint="eastAsia"/>
          <w:lang w:eastAsia="zh-CN"/>
        </w:rPr>
        <w:t>研究组。</w:t>
      </w:r>
    </w:p>
  </w:footnote>
  <w:footnote w:id="3">
    <w:p w14:paraId="0F4EEA1A" w14:textId="77777777" w:rsidR="00871503" w:rsidRPr="00871503" w:rsidRDefault="00004479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3</w:t>
      </w:r>
      <w:r>
        <w:rPr>
          <w:lang w:eastAsia="zh-CN"/>
        </w:rPr>
        <w:tab/>
      </w:r>
      <w:r w:rsidRPr="00030210">
        <w:rPr>
          <w:lang w:eastAsia="zh-CN"/>
        </w:rPr>
        <w:t>TSAG</w:t>
      </w:r>
      <w:r>
        <w:rPr>
          <w:lang w:eastAsia="zh-CN"/>
        </w:rPr>
        <w:t>于</w:t>
      </w:r>
      <w:r w:rsidRPr="00030210">
        <w:rPr>
          <w:lang w:eastAsia="zh-CN"/>
        </w:rPr>
        <w:t>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Pr="00030210">
        <w:rPr>
          <w:lang w:eastAsia="zh-CN"/>
        </w:rPr>
        <w:t>5</w:t>
      </w:r>
      <w:r>
        <w:rPr>
          <w:lang w:eastAsia="zh-CN"/>
        </w:rPr>
        <w:t>日</w:t>
      </w:r>
      <w:r>
        <w:rPr>
          <w:rFonts w:hint="eastAsia"/>
          <w:lang w:eastAsia="zh-CN"/>
        </w:rPr>
        <w:t>同意</w:t>
      </w:r>
      <w:r>
        <w:rPr>
          <w:lang w:eastAsia="zh-CN"/>
        </w:rPr>
        <w:t>对</w:t>
      </w:r>
      <w:r w:rsidRPr="00030210">
        <w:rPr>
          <w:lang w:eastAsia="zh-CN"/>
        </w:rPr>
        <w:t>ITU-T</w:t>
      </w:r>
      <w:r>
        <w:rPr>
          <w:lang w:eastAsia="zh-CN"/>
        </w:rPr>
        <w:t>第</w:t>
      </w:r>
      <w:r w:rsidRPr="00030210">
        <w:rPr>
          <w:lang w:eastAsia="zh-CN"/>
        </w:rPr>
        <w:t>20</w:t>
      </w:r>
      <w:r>
        <w:rPr>
          <w:lang w:eastAsia="zh-CN"/>
        </w:rPr>
        <w:t>研究组牵头研究组的</w:t>
      </w:r>
      <w:r>
        <w:rPr>
          <w:rFonts w:hint="eastAsia"/>
          <w:lang w:eastAsia="zh-CN"/>
        </w:rPr>
        <w:t>作用进行</w:t>
      </w:r>
      <w:r>
        <w:rPr>
          <w:lang w:eastAsia="zh-CN"/>
        </w:rPr>
        <w:t>修改</w:t>
      </w:r>
      <w:r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B269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43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F944EE" w14:textId="1A0AAE3A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A5BA2">
      <w:rPr>
        <w:rFonts w:hint="eastAsia"/>
        <w:noProof/>
        <w:lang w:val="en-US"/>
      </w:rPr>
      <w:t>文件</w:t>
    </w:r>
    <w:r w:rsidR="00CA5BA2">
      <w:rPr>
        <w:rFonts w:hint="eastAsia"/>
        <w:noProof/>
        <w:lang w:val="en-US"/>
      </w:rPr>
      <w:t xml:space="preserve"> 38 (Add.30)-C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04479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016E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95CA6"/>
    <w:rsid w:val="003A69EA"/>
    <w:rsid w:val="003B4BEF"/>
    <w:rsid w:val="003C6B45"/>
    <w:rsid w:val="003D434E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4E24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6F7335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A64DF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87826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A5BA2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401B95FE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ul.redwin@dcms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329bbe-8759-4848-8e6b-1388537d7c8f">DPM</DPM_x0020_Author>
    <DPM_x0020_File_x0020_name xmlns="ba329bbe-8759-4848-8e6b-1388537d7c8f">T17-WTSA.20-C-0038!A30!MSW-C</DPM_x0020_File_x0020_name>
    <DPM_x0020_Version xmlns="ba329bbe-8759-4848-8e6b-1388537d7c8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329bbe-8759-4848-8e6b-1388537d7c8f" targetNamespace="http://schemas.microsoft.com/office/2006/metadata/properties" ma:root="true" ma:fieldsID="d41af5c836d734370eb92e7ee5f83852" ns2:_="" ns3:_="">
    <xsd:import namespace="996b2e75-67fd-4955-a3b0-5ab9934cb50b"/>
    <xsd:import namespace="ba329bbe-8759-4848-8e6b-1388537d7c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9bbe-8759-4848-8e6b-1388537d7c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a329bbe-8759-4848-8e6b-1388537d7c8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329bbe-8759-4848-8e6b-1388537d7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T17-WTSA.20-C-0038!A30!MSW-C</vt:lpstr>
    </vt:vector>
  </TitlesOfParts>
  <Manager>General Secretariat - Pool</Manager>
  <Company>International Telecommunication Union (ITU)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T17-WTSA.20-C-0038!A30!MSW-C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Kehan</cp:lastModifiedBy>
  <cp:revision>6</cp:revision>
  <cp:lastPrinted>2016-06-07T13:24:00Z</cp:lastPrinted>
  <dcterms:created xsi:type="dcterms:W3CDTF">2022-02-02T16:37:00Z</dcterms:created>
  <dcterms:modified xsi:type="dcterms:W3CDTF">2022-02-02T17:02:00Z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