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866846" w14:paraId="3B48A9DD" w14:textId="77777777" w:rsidTr="00FC66E3">
        <w:trPr>
          <w:cantSplit/>
        </w:trPr>
        <w:tc>
          <w:tcPr>
            <w:tcW w:w="6379" w:type="dxa"/>
          </w:tcPr>
          <w:p w14:paraId="47056E02" w14:textId="1CAC43B4" w:rsidR="004037F2" w:rsidRPr="00866846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66846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866846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866846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866846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866846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866846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86684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9A7365" w:rsidRPr="009A7365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866846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86684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86684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866846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86684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866846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365A24F5" w14:textId="77777777" w:rsidR="004037F2" w:rsidRPr="00866846" w:rsidRDefault="004037F2" w:rsidP="004037F2">
            <w:pPr>
              <w:spacing w:before="0" w:line="240" w:lineRule="atLeast"/>
            </w:pPr>
            <w:r w:rsidRPr="00866846">
              <w:rPr>
                <w:noProof/>
                <w:lang w:eastAsia="zh-CN"/>
              </w:rPr>
              <w:drawing>
                <wp:inline distT="0" distB="0" distL="0" distR="0" wp14:anchorId="6A06C99A" wp14:editId="2170F5B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66846" w14:paraId="1A623168" w14:textId="77777777" w:rsidTr="00FC66E3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6DA95B79" w14:textId="77777777" w:rsidR="00D15F4D" w:rsidRPr="0086684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5272925" w14:textId="77777777" w:rsidR="00D15F4D" w:rsidRPr="0086684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66846" w14:paraId="7680EBAF" w14:textId="77777777" w:rsidTr="00FC66E3">
        <w:trPr>
          <w:cantSplit/>
        </w:trPr>
        <w:tc>
          <w:tcPr>
            <w:tcW w:w="6379" w:type="dxa"/>
          </w:tcPr>
          <w:p w14:paraId="440E28C4" w14:textId="77777777" w:rsidR="00E11080" w:rsidRPr="0086684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6684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6E3EB3B4" w14:textId="77777777" w:rsidR="00E11080" w:rsidRPr="00866846" w:rsidRDefault="00E11080" w:rsidP="00662A60">
            <w:pPr>
              <w:pStyle w:val="DocNumber"/>
              <w:rPr>
                <w:lang w:val="ru-RU"/>
              </w:rPr>
            </w:pPr>
            <w:r w:rsidRPr="00866846">
              <w:rPr>
                <w:lang w:val="ru-RU"/>
              </w:rPr>
              <w:t>Дополнительный документ 25</w:t>
            </w:r>
            <w:r w:rsidRPr="00866846">
              <w:rPr>
                <w:lang w:val="ru-RU"/>
              </w:rPr>
              <w:br/>
              <w:t>к Документу 38-R</w:t>
            </w:r>
          </w:p>
        </w:tc>
      </w:tr>
      <w:tr w:rsidR="00E11080" w:rsidRPr="00866846" w14:paraId="744875DD" w14:textId="77777777" w:rsidTr="00FC66E3">
        <w:trPr>
          <w:cantSplit/>
        </w:trPr>
        <w:tc>
          <w:tcPr>
            <w:tcW w:w="6379" w:type="dxa"/>
          </w:tcPr>
          <w:p w14:paraId="4ADE9CF9" w14:textId="16D00571" w:rsidR="00E11080" w:rsidRPr="0086684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938D4CC" w14:textId="77777777" w:rsidR="00E11080" w:rsidRPr="0086684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6846">
              <w:rPr>
                <w:rFonts w:ascii="Verdana" w:hAnsi="Verdana"/>
                <w:b/>
                <w:bCs/>
                <w:sz w:val="18"/>
                <w:szCs w:val="18"/>
              </w:rPr>
              <w:t>5 мая 2021 года</w:t>
            </w:r>
          </w:p>
        </w:tc>
      </w:tr>
      <w:tr w:rsidR="00E11080" w:rsidRPr="00866846" w14:paraId="60E5E33C" w14:textId="77777777" w:rsidTr="00FC66E3">
        <w:trPr>
          <w:cantSplit/>
        </w:trPr>
        <w:tc>
          <w:tcPr>
            <w:tcW w:w="6379" w:type="dxa"/>
          </w:tcPr>
          <w:p w14:paraId="1ADEA4BC" w14:textId="77777777" w:rsidR="00E11080" w:rsidRPr="0086684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A62871A" w14:textId="77777777" w:rsidR="00E11080" w:rsidRPr="0086684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684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66846" w14:paraId="5BA702C8" w14:textId="77777777" w:rsidTr="00190D8B">
        <w:trPr>
          <w:cantSplit/>
        </w:trPr>
        <w:tc>
          <w:tcPr>
            <w:tcW w:w="9781" w:type="dxa"/>
            <w:gridSpan w:val="2"/>
          </w:tcPr>
          <w:p w14:paraId="6E4B5920" w14:textId="77777777" w:rsidR="00E11080" w:rsidRPr="0086684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66846" w14:paraId="152FB8EA" w14:textId="77777777" w:rsidTr="00190D8B">
        <w:trPr>
          <w:cantSplit/>
        </w:trPr>
        <w:tc>
          <w:tcPr>
            <w:tcW w:w="9781" w:type="dxa"/>
            <w:gridSpan w:val="2"/>
          </w:tcPr>
          <w:p w14:paraId="31228AB3" w14:textId="0306B298" w:rsidR="00E11080" w:rsidRPr="00866846" w:rsidRDefault="00E11080" w:rsidP="00190D8B">
            <w:pPr>
              <w:pStyle w:val="Source"/>
            </w:pPr>
            <w:r w:rsidRPr="00866846">
              <w:rPr>
                <w:szCs w:val="26"/>
              </w:rPr>
              <w:t xml:space="preserve">Государства – </w:t>
            </w:r>
            <w:r w:rsidR="00FC66E3" w:rsidRPr="00866846">
              <w:rPr>
                <w:szCs w:val="26"/>
              </w:rPr>
              <w:t xml:space="preserve">члены </w:t>
            </w:r>
            <w:r w:rsidRPr="00866846">
              <w:rPr>
                <w:szCs w:val="26"/>
              </w:rPr>
              <w:t>Европейской конференции администраций почт и</w:t>
            </w:r>
            <w:r w:rsidR="004D7170">
              <w:rPr>
                <w:szCs w:val="26"/>
                <w:lang w:val="en-US"/>
              </w:rPr>
              <w:t> </w:t>
            </w:r>
            <w:r w:rsidRPr="00866846">
              <w:rPr>
                <w:szCs w:val="26"/>
              </w:rPr>
              <w:t>электросвязи (СЕПТ)</w:t>
            </w:r>
          </w:p>
        </w:tc>
      </w:tr>
      <w:tr w:rsidR="00E11080" w:rsidRPr="00866846" w14:paraId="3B22AD37" w14:textId="77777777" w:rsidTr="00190D8B">
        <w:trPr>
          <w:cantSplit/>
        </w:trPr>
        <w:tc>
          <w:tcPr>
            <w:tcW w:w="9781" w:type="dxa"/>
            <w:gridSpan w:val="2"/>
          </w:tcPr>
          <w:p w14:paraId="62D5B236" w14:textId="023A8881" w:rsidR="00E11080" w:rsidRPr="00866846" w:rsidRDefault="00866846" w:rsidP="00190D8B">
            <w:pPr>
              <w:pStyle w:val="Title1"/>
            </w:pPr>
            <w:r>
              <w:rPr>
                <w:szCs w:val="26"/>
              </w:rPr>
              <w:t>ПРЕДЛАГАЕМАЯ НОВАЯ РЕЗОЛЮЦИЯ</w:t>
            </w:r>
            <w:r w:rsidR="00E11080" w:rsidRPr="00866846">
              <w:rPr>
                <w:szCs w:val="26"/>
              </w:rPr>
              <w:t xml:space="preserve"> [</w:t>
            </w:r>
            <w:proofErr w:type="spellStart"/>
            <w:r w:rsidR="00E11080" w:rsidRPr="00866846">
              <w:rPr>
                <w:szCs w:val="26"/>
              </w:rPr>
              <w:t>ECP</w:t>
            </w:r>
            <w:proofErr w:type="spellEnd"/>
            <w:r w:rsidR="00E11080" w:rsidRPr="00866846">
              <w:rPr>
                <w:szCs w:val="26"/>
              </w:rPr>
              <w:t xml:space="preserve">-1] </w:t>
            </w:r>
            <w:r w:rsidR="00FD06AE">
              <w:rPr>
                <w:szCs w:val="26"/>
              </w:rPr>
              <w:t>–</w:t>
            </w:r>
            <w:r w:rsidR="00E11080" w:rsidRPr="00866846">
              <w:rPr>
                <w:szCs w:val="26"/>
              </w:rPr>
              <w:t xml:space="preserve"> </w:t>
            </w:r>
            <w:r w:rsidR="00FD06AE">
              <w:rPr>
                <w:szCs w:val="26"/>
              </w:rPr>
              <w:t>значение участия отрасли в работе мсэ</w:t>
            </w:r>
            <w:r w:rsidR="00FD06AE">
              <w:rPr>
                <w:szCs w:val="26"/>
              </w:rPr>
              <w:noBreakHyphen/>
            </w:r>
            <w:r w:rsidR="00E11080" w:rsidRPr="00866846">
              <w:rPr>
                <w:szCs w:val="26"/>
              </w:rPr>
              <w:t>T</w:t>
            </w:r>
          </w:p>
        </w:tc>
      </w:tr>
      <w:tr w:rsidR="00E11080" w:rsidRPr="00866846" w14:paraId="2D4104D3" w14:textId="77777777" w:rsidTr="00190D8B">
        <w:trPr>
          <w:cantSplit/>
        </w:trPr>
        <w:tc>
          <w:tcPr>
            <w:tcW w:w="9781" w:type="dxa"/>
            <w:gridSpan w:val="2"/>
          </w:tcPr>
          <w:p w14:paraId="3C5BEA87" w14:textId="77777777" w:rsidR="00E11080" w:rsidRPr="00866846" w:rsidRDefault="00E11080" w:rsidP="00190D8B">
            <w:pPr>
              <w:pStyle w:val="Title2"/>
            </w:pPr>
          </w:p>
        </w:tc>
      </w:tr>
      <w:tr w:rsidR="00E11080" w:rsidRPr="00866846" w14:paraId="1828AEAC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262ECF1" w14:textId="77777777" w:rsidR="00E11080" w:rsidRPr="0086684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BC1BD25" w14:textId="77777777" w:rsidR="001434F1" w:rsidRPr="0086684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866846" w14:paraId="16ACBED7" w14:textId="77777777" w:rsidTr="00840BEC">
        <w:trPr>
          <w:cantSplit/>
        </w:trPr>
        <w:tc>
          <w:tcPr>
            <w:tcW w:w="1843" w:type="dxa"/>
          </w:tcPr>
          <w:p w14:paraId="02822B48" w14:textId="77777777" w:rsidR="001434F1" w:rsidRPr="00866846" w:rsidRDefault="001434F1" w:rsidP="00CE7F26">
            <w:r w:rsidRPr="00866846">
              <w:rPr>
                <w:b/>
                <w:bCs/>
                <w:szCs w:val="22"/>
              </w:rPr>
              <w:t>Резюме</w:t>
            </w:r>
            <w:r w:rsidRPr="00866846">
              <w:t>:</w:t>
            </w:r>
          </w:p>
        </w:tc>
        <w:tc>
          <w:tcPr>
            <w:tcW w:w="7968" w:type="dxa"/>
          </w:tcPr>
          <w:p w14:paraId="56C31FEE" w14:textId="2DF3BA52" w:rsidR="001434F1" w:rsidRPr="004D7170" w:rsidRDefault="00FD06AE" w:rsidP="00777F17">
            <w:pPr>
              <w:rPr>
                <w:color w:val="000000" w:themeColor="text1"/>
              </w:rPr>
            </w:pPr>
            <w:r>
              <w:t xml:space="preserve">Для </w:t>
            </w:r>
            <w:r w:rsidR="00373DB6">
              <w:t>достижения целей</w:t>
            </w:r>
            <w:r>
              <w:t xml:space="preserve"> МСЭ, определенных в Статье 1 Устава, </w:t>
            </w:r>
            <w:r w:rsidR="00373DB6">
              <w:t xml:space="preserve">по оказанию </w:t>
            </w:r>
            <w:r>
              <w:t xml:space="preserve">содействия конструктивному </w:t>
            </w:r>
            <w:r w:rsidR="00820220">
              <w:t xml:space="preserve">сотрудничеству и партнерству между Государствами-Членами и Членами Секторов, первостепенное значение имеет признание </w:t>
            </w:r>
            <w:r w:rsidR="00373DB6">
              <w:t xml:space="preserve">роли </w:t>
            </w:r>
            <w:r w:rsidR="00820220">
              <w:t>отрасли в технической работе МСЭ-Т</w:t>
            </w:r>
            <w:r w:rsidR="00866846" w:rsidRPr="002B56AA">
              <w:t xml:space="preserve">. </w:t>
            </w:r>
            <w:r w:rsidR="00820220">
              <w:t xml:space="preserve">Предлагаемый проект Резолюции предназначается для того, чтобы подчеркнуть, что </w:t>
            </w:r>
            <w:r w:rsidR="00384647">
              <w:t>полномасштабное участие отрасли в партнерстве с правительствами и всеми другими заинтересованными сторонами в работе МСЭ-Т является условием наибольшей востребованности ее результатов</w:t>
            </w:r>
            <w:r w:rsidR="004E2E0A">
              <w:t>.</w:t>
            </w:r>
          </w:p>
        </w:tc>
      </w:tr>
    </w:tbl>
    <w:p w14:paraId="33DC3FAD" w14:textId="4CA98EE5" w:rsidR="00866846" w:rsidRPr="00866846" w:rsidRDefault="00866846" w:rsidP="00866846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23838DF7" w14:textId="78F622EA" w:rsidR="00866846" w:rsidRDefault="002357D1" w:rsidP="00866846">
      <w:r>
        <w:t xml:space="preserve">Предлагаемый проект новой Резолюции предназначается для рассмотрения </w:t>
      </w:r>
      <w:proofErr w:type="spellStart"/>
      <w:r>
        <w:t>ВАСЭ</w:t>
      </w:r>
      <w:proofErr w:type="spellEnd"/>
      <w:r>
        <w:t xml:space="preserve"> в качестве продолжения обсуждений в Консультативной группе по стандартизации электросвязи (</w:t>
      </w:r>
      <w:proofErr w:type="spellStart"/>
      <w:r>
        <w:t>КГСЭ</w:t>
      </w:r>
      <w:proofErr w:type="spellEnd"/>
      <w:r>
        <w:t xml:space="preserve">) необходимости </w:t>
      </w:r>
      <w:r w:rsidR="00F955FA">
        <w:t>поддерживать и привлекать большее число отраслевых участников к деятельности МСЭ-Т как на глобальном, так и на региональном уровне</w:t>
      </w:r>
      <w:r w:rsidR="00866846" w:rsidRPr="002B56AA">
        <w:t xml:space="preserve">. </w:t>
      </w:r>
      <w:r w:rsidR="00DD55AB">
        <w:t xml:space="preserve">Для придания стимула и содержания значительной части работы исследовательских комиссий МСЭ-Т требуется технологическая эволюция, определяемая </w:t>
      </w:r>
      <w:r w:rsidR="00F74F56">
        <w:t>отраслью и существенными инвестициями частного сектора</w:t>
      </w:r>
      <w:r w:rsidR="00866846" w:rsidRPr="002B56AA">
        <w:t xml:space="preserve">. </w:t>
      </w:r>
      <w:r w:rsidR="00F74F56">
        <w:t>МСЭ считается в первую очередь межправительственной организацией, но пров</w:t>
      </w:r>
      <w:r w:rsidR="00722C7B">
        <w:t>еденный в последнее время анализ показал, что необходимо укреплять и развивать активное участие отрасли в глобальной работе МСЭ по стандартизации в целом, тем самым обеспечивая отражение в результатах работы МСЭ-Т хозяйственных операций и их практическое применение</w:t>
      </w:r>
      <w:r w:rsidR="00866846" w:rsidRPr="002B56AA">
        <w:t>.</w:t>
      </w:r>
    </w:p>
    <w:p w14:paraId="08EA0677" w14:textId="61C16E35" w:rsidR="00866846" w:rsidRPr="00866846" w:rsidRDefault="00866846" w:rsidP="00866846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2D082B30" w14:textId="4DE9833F" w:rsidR="00840BEC" w:rsidRPr="00866846" w:rsidRDefault="00AE1A31" w:rsidP="00D34729">
      <w:r>
        <w:t xml:space="preserve">Предлагаем </w:t>
      </w:r>
      <w:proofErr w:type="spellStart"/>
      <w:r>
        <w:t>ВАСЭ</w:t>
      </w:r>
      <w:proofErr w:type="spellEnd"/>
      <w:r>
        <w:noBreakHyphen/>
        <w:t>20 следующий проект Резолюции</w:t>
      </w:r>
      <w:r w:rsidR="00866846">
        <w:t>.</w:t>
      </w:r>
    </w:p>
    <w:p w14:paraId="2D6D899C" w14:textId="77777777" w:rsidR="0092220F" w:rsidRPr="00866846" w:rsidRDefault="0092220F" w:rsidP="00612A80">
      <w:r w:rsidRPr="00866846">
        <w:br w:type="page"/>
      </w:r>
    </w:p>
    <w:p w14:paraId="15B2514B" w14:textId="5EB55743" w:rsidR="0073137C" w:rsidRPr="00866846" w:rsidRDefault="00F26799" w:rsidP="00FC66E3">
      <w:pPr>
        <w:pStyle w:val="Proposal"/>
        <w:tabs>
          <w:tab w:val="left" w:pos="6315"/>
        </w:tabs>
      </w:pPr>
      <w:proofErr w:type="spellStart"/>
      <w:r w:rsidRPr="00866846">
        <w:lastRenderedPageBreak/>
        <w:t>ADD</w:t>
      </w:r>
      <w:proofErr w:type="spellEnd"/>
      <w:r w:rsidRPr="00866846">
        <w:tab/>
      </w:r>
      <w:proofErr w:type="spellStart"/>
      <w:r w:rsidRPr="00866846">
        <w:t>EUR</w:t>
      </w:r>
      <w:proofErr w:type="spellEnd"/>
      <w:r w:rsidRPr="00866846">
        <w:t>/</w:t>
      </w:r>
      <w:proofErr w:type="spellStart"/>
      <w:r w:rsidRPr="00866846">
        <w:t>38A25</w:t>
      </w:r>
      <w:proofErr w:type="spellEnd"/>
      <w:r w:rsidRPr="00866846">
        <w:t>/1</w:t>
      </w:r>
    </w:p>
    <w:p w14:paraId="74E56E94" w14:textId="555CD83F" w:rsidR="005E1139" w:rsidRPr="00A805D6" w:rsidRDefault="00F26799" w:rsidP="004D7170">
      <w:pPr>
        <w:pStyle w:val="ResNo"/>
        <w:rPr>
          <w:caps/>
        </w:rPr>
      </w:pPr>
      <w:r w:rsidRPr="00A805D6">
        <w:t xml:space="preserve">ПРОЕКТ НОВОЙ </w:t>
      </w:r>
      <w:r w:rsidRPr="004D7170">
        <w:t>РЕЗОЛЮЦИИ</w:t>
      </w:r>
      <w:r w:rsidR="00A805D6">
        <w:t xml:space="preserve"> </w:t>
      </w:r>
      <w:r w:rsidR="00A805D6" w:rsidRPr="00A805D6">
        <w:t>[</w:t>
      </w:r>
      <w:proofErr w:type="spellStart"/>
      <w:r w:rsidR="00A805D6" w:rsidRPr="00A805D6">
        <w:t>ECP</w:t>
      </w:r>
      <w:proofErr w:type="spellEnd"/>
      <w:r w:rsidR="00A805D6" w:rsidRPr="00A805D6">
        <w:t>-1]</w:t>
      </w:r>
    </w:p>
    <w:p w14:paraId="0B9CBF73" w14:textId="21F8B321" w:rsidR="0028169A" w:rsidRDefault="00915305" w:rsidP="00C96A90">
      <w:pPr>
        <w:pStyle w:val="Restitle"/>
      </w:pPr>
      <w:r>
        <w:t>Предлагаемая</w:t>
      </w:r>
      <w:r w:rsidR="00370D9A">
        <w:t xml:space="preserve"> новая Резолюция </w:t>
      </w:r>
      <w:proofErr w:type="spellStart"/>
      <w:r w:rsidR="00370D9A">
        <w:t>ВАСЭ</w:t>
      </w:r>
      <w:proofErr w:type="spellEnd"/>
      <w:r w:rsidR="00370D9A">
        <w:t xml:space="preserve"> о значении участия отрасли в</w:t>
      </w:r>
      <w:r w:rsidR="004D7170">
        <w:rPr>
          <w:lang w:val="en-US"/>
        </w:rPr>
        <w:t> </w:t>
      </w:r>
      <w:r w:rsidR="00370D9A">
        <w:t>работе</w:t>
      </w:r>
      <w:r w:rsidR="004D7170">
        <w:rPr>
          <w:lang w:val="en-US"/>
        </w:rPr>
        <w:t> </w:t>
      </w:r>
      <w:r w:rsidR="00370D9A">
        <w:t>МСЭ-Т</w:t>
      </w:r>
    </w:p>
    <w:p w14:paraId="2CB3342D" w14:textId="28AB725C" w:rsidR="0028169A" w:rsidRPr="00BF5544" w:rsidRDefault="0028169A" w:rsidP="0028169A">
      <w:pPr>
        <w:pStyle w:val="Resref"/>
      </w:pPr>
      <w:r w:rsidRPr="00BF5544">
        <w:t>(</w:t>
      </w:r>
      <w:r w:rsidR="00AF0DC9">
        <w:t>Женева</w:t>
      </w:r>
      <w:r>
        <w:t>, 2022 г.</w:t>
      </w:r>
      <w:r w:rsidRPr="00BF5544">
        <w:t>)</w:t>
      </w:r>
    </w:p>
    <w:p w14:paraId="4CA74EE4" w14:textId="6354A148" w:rsidR="0028169A" w:rsidRPr="00BF5544" w:rsidRDefault="0028169A" w:rsidP="0028169A">
      <w:pPr>
        <w:pStyle w:val="Normalaftertitle"/>
      </w:pPr>
      <w:r w:rsidRPr="00BF5544">
        <w:t>Всемирная ассамблея по стандартизации электросвязи (</w:t>
      </w:r>
      <w:r w:rsidR="00AF0DC9">
        <w:t>Женева</w:t>
      </w:r>
      <w:r>
        <w:t>, 2022 г.</w:t>
      </w:r>
      <w:r w:rsidRPr="00BF5544">
        <w:t>),</w:t>
      </w:r>
    </w:p>
    <w:p w14:paraId="0711043C" w14:textId="7635E63C" w:rsidR="0028169A" w:rsidRPr="00BF5544" w:rsidRDefault="0028169A" w:rsidP="0028169A">
      <w:pPr>
        <w:pStyle w:val="Call"/>
      </w:pPr>
      <w:r w:rsidRPr="00BF5544">
        <w:t>учитывая</w:t>
      </w:r>
    </w:p>
    <w:p w14:paraId="46ECCB6D" w14:textId="1F589FC4" w:rsidR="00866846" w:rsidRDefault="00866846" w:rsidP="00866846">
      <w:r w:rsidRPr="00503FF7">
        <w:rPr>
          <w:i/>
          <w:iCs/>
        </w:rPr>
        <w:t>a)</w:t>
      </w:r>
      <w:r>
        <w:tab/>
      </w:r>
      <w:r w:rsidR="0028169A">
        <w:t>Статью</w:t>
      </w:r>
      <w:r>
        <w:t xml:space="preserve"> 1 </w:t>
      </w:r>
      <w:r w:rsidR="0028169A">
        <w:t xml:space="preserve">Устава МСЭ </w:t>
      </w:r>
      <w:r w:rsidR="00BD6EA8">
        <w:t xml:space="preserve">относительно </w:t>
      </w:r>
      <w:r w:rsidR="0028169A" w:rsidRPr="0028169A">
        <w:t>поощрени</w:t>
      </w:r>
      <w:r w:rsidR="00BD6EA8">
        <w:t>я</w:t>
      </w:r>
      <w:r w:rsidR="0028169A" w:rsidRPr="0028169A">
        <w:t xml:space="preserve"> и расширени</w:t>
      </w:r>
      <w:r w:rsidR="00BD6EA8">
        <w:t>я</w:t>
      </w:r>
      <w:r w:rsidR="0028169A" w:rsidRPr="0028169A">
        <w:t xml:space="preserve"> участия объединений и организаций в деятельности Союза и укреплени</w:t>
      </w:r>
      <w:r w:rsidR="00BD6EA8">
        <w:t>я</w:t>
      </w:r>
      <w:r w:rsidR="0028169A" w:rsidRPr="0028169A">
        <w:t xml:space="preserve"> плодотворного сотрудничества и партнерства между ними и Государствами-Членами для выполнения общих задач, вытекающих из целей Союза</w:t>
      </w:r>
      <w:r>
        <w:t>;</w:t>
      </w:r>
    </w:p>
    <w:p w14:paraId="0544E539" w14:textId="7912CF07" w:rsidR="00866846" w:rsidRDefault="00866846" w:rsidP="00866846">
      <w:r w:rsidRPr="00503FF7">
        <w:rPr>
          <w:i/>
          <w:iCs/>
        </w:rPr>
        <w:t>b)</w:t>
      </w:r>
      <w:r>
        <w:tab/>
      </w:r>
      <w:r w:rsidR="00A805D6">
        <w:t xml:space="preserve">Статью 3 Устава </w:t>
      </w:r>
      <w:r w:rsidR="00370D9A">
        <w:t>относительно прав и обязанностей Государств-Членов и Членов Секторов, в п </w:t>
      </w:r>
      <w:proofErr w:type="spellStart"/>
      <w:r>
        <w:t>28A</w:t>
      </w:r>
      <w:proofErr w:type="spellEnd"/>
      <w:r w:rsidR="00370D9A">
        <w:t xml:space="preserve"> которой </w:t>
      </w:r>
      <w:r w:rsidR="00BD6EA8">
        <w:t xml:space="preserve">указано, что </w:t>
      </w:r>
      <w:r w:rsidR="00A805D6">
        <w:t>"</w:t>
      </w:r>
      <w:r w:rsidR="00A805D6" w:rsidRPr="00A805D6">
        <w:t>Члены Секторов имеют право в полной мере участвовать в деятельности Сектора, членами которого они являются</w:t>
      </w:r>
      <w:r w:rsidR="00A805D6">
        <w:t>"</w:t>
      </w:r>
      <w:r>
        <w:t>;</w:t>
      </w:r>
    </w:p>
    <w:p w14:paraId="3F1A8044" w14:textId="134DBDE8" w:rsidR="00866846" w:rsidRDefault="00866846" w:rsidP="00866846">
      <w:r w:rsidRPr="00503FF7">
        <w:rPr>
          <w:i/>
          <w:iCs/>
        </w:rPr>
        <w:t>c)</w:t>
      </w:r>
      <w:r>
        <w:tab/>
      </w:r>
      <w:r w:rsidR="00A805D6">
        <w:t>Статью</w:t>
      </w:r>
      <w:r>
        <w:t xml:space="preserve"> 19 </w:t>
      </w:r>
      <w:r w:rsidR="00A805D6">
        <w:t>Конвенции МСЭ</w:t>
      </w:r>
      <w:r>
        <w:t xml:space="preserve"> </w:t>
      </w:r>
      <w:r w:rsidR="00370D9A">
        <w:t xml:space="preserve">относительно участия объединений и организаций, </w:t>
      </w:r>
      <w:r w:rsidR="00D464CC">
        <w:t>отличных от администраций, в деятельности Союза</w:t>
      </w:r>
      <w:r>
        <w:t>;</w:t>
      </w:r>
    </w:p>
    <w:p w14:paraId="76B79242" w14:textId="5965CBA1" w:rsidR="00866846" w:rsidRDefault="00866846" w:rsidP="00F96735">
      <w:r w:rsidRPr="00503FF7">
        <w:rPr>
          <w:i/>
          <w:iCs/>
        </w:rPr>
        <w:t>d)</w:t>
      </w:r>
      <w:r>
        <w:tab/>
      </w:r>
      <w:r w:rsidR="00A805D6">
        <w:t>Резолюцию</w:t>
      </w:r>
      <w:r>
        <w:t xml:space="preserve"> 14 (</w:t>
      </w:r>
      <w:proofErr w:type="spellStart"/>
      <w:r w:rsidR="00A805D6">
        <w:t>Пересм</w:t>
      </w:r>
      <w:proofErr w:type="spellEnd"/>
      <w:r w:rsidR="00A805D6">
        <w:t>. Анталия</w:t>
      </w:r>
      <w:r>
        <w:t>, 2006</w:t>
      </w:r>
      <w:r w:rsidR="00A805D6">
        <w:t> г.</w:t>
      </w:r>
      <w:r>
        <w:t xml:space="preserve">) </w:t>
      </w:r>
      <w:r w:rsidR="00A805D6">
        <w:t>Полномочной конференции</w:t>
      </w:r>
      <w:r w:rsidR="00F96735">
        <w:t xml:space="preserve"> о признании прав и обязанностей всех Членов Секторов Союза</w:t>
      </w:r>
      <w:r w:rsidR="00D464CC">
        <w:t>, в которой приводятся дополнительные сведения относительно прав и обязанностей Членов Секторов и отмечается, что эти объединения</w:t>
      </w:r>
      <w:r>
        <w:t xml:space="preserve"> </w:t>
      </w:r>
      <w:r w:rsidR="00A805D6">
        <w:t>"</w:t>
      </w:r>
      <w:r w:rsidR="00F96735" w:rsidRPr="00F96735">
        <w:t>могут участвовать во всех видах деятельности данного Сектора, за исключением официального голосования и некоторых конференций по разработке договоров</w:t>
      </w:r>
      <w:r w:rsidR="00A805D6">
        <w:t>"</w:t>
      </w:r>
      <w:r>
        <w:t>;</w:t>
      </w:r>
    </w:p>
    <w:p w14:paraId="7B72DAD8" w14:textId="5298C9E9" w:rsidR="00866846" w:rsidRDefault="00866846" w:rsidP="00F96735">
      <w:r w:rsidRPr="00503FF7">
        <w:rPr>
          <w:i/>
          <w:iCs/>
        </w:rPr>
        <w:t>e)</w:t>
      </w:r>
      <w:r>
        <w:tab/>
      </w:r>
      <w:r w:rsidR="00A805D6">
        <w:t>Резолюци</w:t>
      </w:r>
      <w:r w:rsidR="00636BD4">
        <w:t>ю</w:t>
      </w:r>
      <w:r w:rsidR="00A805D6">
        <w:t xml:space="preserve"> </w:t>
      </w:r>
      <w:r>
        <w:t>122 (</w:t>
      </w:r>
      <w:proofErr w:type="spellStart"/>
      <w:r w:rsidR="00A805D6">
        <w:t>Пересм</w:t>
      </w:r>
      <w:proofErr w:type="spellEnd"/>
      <w:r w:rsidR="00A805D6">
        <w:t>. Гвадалахара</w:t>
      </w:r>
      <w:r>
        <w:t>, 2010</w:t>
      </w:r>
      <w:r w:rsidR="00A805D6">
        <w:t> г.</w:t>
      </w:r>
      <w:r>
        <w:t xml:space="preserve">) </w:t>
      </w:r>
      <w:r w:rsidR="00F96735">
        <w:t>о возрастающей роли Всемирной ассамблеи по стандартизации электросвязи</w:t>
      </w:r>
      <w:r w:rsidR="00636BD4">
        <w:t>, в которой</w:t>
      </w:r>
      <w:r w:rsidR="00CE7F26">
        <w:t xml:space="preserve"> подчеркивается решающее значение тесного взаимодействия Государств-Членов и Членов Сектора МСЭ-Т на основе активного сотрудничества и новаторских подходов, с учетом их соответствующих обязанностей и задач, в целях содействия дальнейшему развитию МСЭ-Т;</w:t>
      </w:r>
    </w:p>
    <w:p w14:paraId="00428DD4" w14:textId="3F61B7E7" w:rsidR="00866846" w:rsidRDefault="00866846" w:rsidP="00866846">
      <w:r w:rsidRPr="00503FF7">
        <w:rPr>
          <w:i/>
          <w:iCs/>
        </w:rPr>
        <w:t>f)</w:t>
      </w:r>
      <w:r>
        <w:tab/>
      </w:r>
      <w:r w:rsidR="00A805D6">
        <w:t xml:space="preserve">Резолюцию </w:t>
      </w:r>
      <w:r>
        <w:t>208 (</w:t>
      </w:r>
      <w:r w:rsidR="00A805D6">
        <w:t>Дубай</w:t>
      </w:r>
      <w:r>
        <w:t>, 2018</w:t>
      </w:r>
      <w:r w:rsidR="00A805D6">
        <w:t> г.</w:t>
      </w:r>
      <w:r>
        <w:t xml:space="preserve">) </w:t>
      </w:r>
      <w:r w:rsidR="00A805D6">
        <w:t>Полномочной конференции</w:t>
      </w:r>
      <w:r w:rsidR="00533D06">
        <w:t xml:space="preserve"> о н</w:t>
      </w:r>
      <w:r w:rsidR="00533D06" w:rsidRPr="00533D06">
        <w:t>азначени</w:t>
      </w:r>
      <w:r w:rsidR="00533D06">
        <w:t>и</w:t>
      </w:r>
      <w:r w:rsidR="00533D06" w:rsidRPr="00533D06">
        <w:t xml:space="preserve"> и максимальн</w:t>
      </w:r>
      <w:r w:rsidR="00533D06">
        <w:t>ом</w:t>
      </w:r>
      <w:r w:rsidR="00533D06" w:rsidRPr="00533D06">
        <w:t xml:space="preserve"> срок</w:t>
      </w:r>
      <w:r w:rsidR="00533D06">
        <w:t>е</w:t>
      </w:r>
      <w:r w:rsidR="00533D06" w:rsidRPr="00533D06">
        <w:t xml:space="preserve"> полномочий председателей и заместителей председателей консультативных групп, исследовательских комиссий и других групп Секторов</w:t>
      </w:r>
      <w:r>
        <w:t xml:space="preserve">, </w:t>
      </w:r>
      <w:r w:rsidR="001326FE">
        <w:t xml:space="preserve">в которой придается существенное значение выбору председателей, в частности </w:t>
      </w:r>
      <w:r w:rsidR="00676032">
        <w:t>на основании справедливого географического распределения и компетенции, включая соответствующие профессиональные знания и опыт</w:t>
      </w:r>
      <w:r w:rsidR="0044605E">
        <w:t>, а также управленческие способности</w:t>
      </w:r>
      <w:r>
        <w:t>,</w:t>
      </w:r>
    </w:p>
    <w:p w14:paraId="1447AD26" w14:textId="2F6E9B2D" w:rsidR="00866846" w:rsidRDefault="0044605E" w:rsidP="00866846">
      <w:pPr>
        <w:pStyle w:val="Call"/>
      </w:pPr>
      <w:r>
        <w:t>памятуя</w:t>
      </w:r>
    </w:p>
    <w:p w14:paraId="1CCA47F3" w14:textId="7A98D25C" w:rsidR="00866846" w:rsidRDefault="00866846" w:rsidP="00866846">
      <w:r w:rsidRPr="00503FF7">
        <w:rPr>
          <w:i/>
          <w:iCs/>
        </w:rPr>
        <w:t>a)</w:t>
      </w:r>
      <w:r>
        <w:tab/>
      </w:r>
      <w:r w:rsidR="00BD6EA8">
        <w:t xml:space="preserve">о </w:t>
      </w:r>
      <w:r w:rsidR="00F26799">
        <w:t>Цел</w:t>
      </w:r>
      <w:r w:rsidR="0044605E">
        <w:t>и</w:t>
      </w:r>
      <w:r>
        <w:t xml:space="preserve"> 5 </w:t>
      </w:r>
      <w:r w:rsidR="00F26799">
        <w:t>Стратегического плана Союза на</w:t>
      </w:r>
      <w:r>
        <w:t xml:space="preserve"> </w:t>
      </w:r>
      <w:proofErr w:type="gramStart"/>
      <w:r>
        <w:t>2020</w:t>
      </w:r>
      <w:r w:rsidR="00F26799">
        <w:t>−</w:t>
      </w:r>
      <w:r>
        <w:t>2023</w:t>
      </w:r>
      <w:proofErr w:type="gramEnd"/>
      <w:r w:rsidR="00F26799">
        <w:t> годы</w:t>
      </w:r>
      <w:r>
        <w:t xml:space="preserve"> (</w:t>
      </w:r>
      <w:r w:rsidR="00F26799">
        <w:t>Резолюция</w:t>
      </w:r>
      <w:r>
        <w:t xml:space="preserve"> 71 </w:t>
      </w:r>
      <w:r w:rsidR="004D7170" w:rsidRPr="004D7170">
        <w:t>(</w:t>
      </w:r>
      <w:proofErr w:type="spellStart"/>
      <w:r w:rsidR="00F26799">
        <w:t>Пересм</w:t>
      </w:r>
      <w:proofErr w:type="spellEnd"/>
      <w:r w:rsidR="00F26799">
        <w:t>. Дубай,</w:t>
      </w:r>
      <w:r>
        <w:t xml:space="preserve"> 2019</w:t>
      </w:r>
      <w:r w:rsidR="00F26799">
        <w:t> г.</w:t>
      </w:r>
      <w:r w:rsidR="004D7170" w:rsidRPr="009A7365">
        <w:t>)</w:t>
      </w:r>
      <w:r>
        <w:t xml:space="preserve">) </w:t>
      </w:r>
      <w:r w:rsidR="00F26799">
        <w:t xml:space="preserve">Полномочной конференции </w:t>
      </w:r>
      <w:r w:rsidR="0044605E">
        <w:t xml:space="preserve">о значении партнерств и о </w:t>
      </w:r>
      <w:r w:rsidR="00F26799" w:rsidRPr="00F26799">
        <w:t>необходимост</w:t>
      </w:r>
      <w:r w:rsidR="0044605E">
        <w:t>и</w:t>
      </w:r>
      <w:r w:rsidR="00F26799" w:rsidRPr="00F26799">
        <w:t xml:space="preserve"> содействовать вовлеченности государственных органов, частного сектора, гражданского общества, межправительственных и международных организаций, а также научного и технического сообществ и сотрудничеству между ними</w:t>
      </w:r>
      <w:r>
        <w:t>;</w:t>
      </w:r>
    </w:p>
    <w:p w14:paraId="1736FF84" w14:textId="3995BD2D" w:rsidR="00866846" w:rsidRDefault="00866846" w:rsidP="00866846">
      <w:r w:rsidRPr="00503FF7">
        <w:rPr>
          <w:i/>
          <w:iCs/>
        </w:rPr>
        <w:t>b)</w:t>
      </w:r>
      <w:r>
        <w:tab/>
      </w:r>
      <w:r w:rsidR="00BD6EA8">
        <w:t xml:space="preserve">о </w:t>
      </w:r>
      <w:r w:rsidR="00626CF7">
        <w:t>Част</w:t>
      </w:r>
      <w:r w:rsidR="00BD6EA8">
        <w:t>и</w:t>
      </w:r>
      <w:r w:rsidR="00626CF7">
        <w:t xml:space="preserve"> 4 Стратегического плана (Реализация и оценка), Приложение 1 к Резолюции 71, в которой подчеркивается значение </w:t>
      </w:r>
      <w:r w:rsidR="00626CF7">
        <w:rPr>
          <w:color w:val="000000"/>
        </w:rPr>
        <w:t>определения конкретных критериев для установления приоритетов между различными видами деятельности и инициативами, которые Союз готов осуществлять, таких как участие в работе, в котор</w:t>
      </w:r>
      <w:r w:rsidR="00BD6EA8">
        <w:rPr>
          <w:color w:val="000000"/>
        </w:rPr>
        <w:t>ую</w:t>
      </w:r>
      <w:r w:rsidR="00626CF7">
        <w:rPr>
          <w:color w:val="000000"/>
        </w:rPr>
        <w:t xml:space="preserve"> МСЭ привносит значительные преимущества</w:t>
      </w:r>
      <w:r>
        <w:t>;</w:t>
      </w:r>
    </w:p>
    <w:p w14:paraId="33F52686" w14:textId="0452047E" w:rsidR="00866846" w:rsidRDefault="00866846" w:rsidP="00866846">
      <w:r w:rsidRPr="00503FF7">
        <w:rPr>
          <w:i/>
          <w:iCs/>
        </w:rPr>
        <w:t>c)</w:t>
      </w:r>
      <w:r>
        <w:tab/>
      </w:r>
      <w:r w:rsidR="00BD6EA8">
        <w:t xml:space="preserve">о том, </w:t>
      </w:r>
      <w:r w:rsidR="00EF3B80">
        <w:t xml:space="preserve">что беспрецедентные темпы развития новых технологий электросвязи/ИКТ, при необходимости </w:t>
      </w:r>
      <w:r w:rsidR="00915305">
        <w:t>сохранения</w:t>
      </w:r>
      <w:r w:rsidR="00EF3B80">
        <w:t xml:space="preserve"> темпов развития стандартов и конвергенции </w:t>
      </w:r>
      <w:r w:rsidR="005F6F85">
        <w:t>технологий электросвязи, вычислительной техники, радиовещания и информационных технологий</w:t>
      </w:r>
      <w:r>
        <w:t xml:space="preserve"> </w:t>
      </w:r>
      <w:r w:rsidR="005F6F85">
        <w:t xml:space="preserve">для создания растущего </w:t>
      </w:r>
      <w:r w:rsidR="005F6F85">
        <w:lastRenderedPageBreak/>
        <w:t xml:space="preserve">числа </w:t>
      </w:r>
      <w:r w:rsidR="00BD6EA8">
        <w:t xml:space="preserve">интегрированных систем связи с расширенными </w:t>
      </w:r>
      <w:r w:rsidR="00143F6B">
        <w:t>функциями</w:t>
      </w:r>
      <w:r w:rsidR="00260148">
        <w:t xml:space="preserve">, делают чрезвычайно важной роль частного сектора в обеспечении </w:t>
      </w:r>
      <w:r w:rsidR="00B6592E">
        <w:t>того, чтобы МСЭ соответствовал изменениям в более широкой среде электросвязи/ИКТ</w:t>
      </w:r>
      <w:r>
        <w:t>;</w:t>
      </w:r>
    </w:p>
    <w:p w14:paraId="5ED3A5AA" w14:textId="34D33E0D" w:rsidR="00866846" w:rsidRDefault="00866846" w:rsidP="00866846">
      <w:r w:rsidRPr="00503FF7">
        <w:rPr>
          <w:i/>
          <w:iCs/>
        </w:rPr>
        <w:t>d)</w:t>
      </w:r>
      <w:r>
        <w:tab/>
      </w:r>
      <w:r w:rsidR="00143F6B" w:rsidRPr="00143F6B">
        <w:t xml:space="preserve">о том, что </w:t>
      </w:r>
      <w:r w:rsidR="00BB4914">
        <w:t>в МСЭ-Т отрасль предлагает свои специальные знания и опыт в областях работы, где достигнуты высокие показатели</w:t>
      </w:r>
      <w:r>
        <w:t xml:space="preserve">, </w:t>
      </w:r>
    </w:p>
    <w:p w14:paraId="7887536E" w14:textId="547810F4" w:rsidR="00866846" w:rsidRDefault="0028169A" w:rsidP="00866846">
      <w:pPr>
        <w:pStyle w:val="Call"/>
      </w:pPr>
      <w:r>
        <w:t>признавая</w:t>
      </w:r>
      <w:r w:rsidRPr="0028169A">
        <w:rPr>
          <w:i w:val="0"/>
          <w:iCs/>
        </w:rPr>
        <w:t>,</w:t>
      </w:r>
    </w:p>
    <w:p w14:paraId="7A9899A5" w14:textId="49F901BF" w:rsidR="00866846" w:rsidRDefault="00866846" w:rsidP="00866846">
      <w:r w:rsidRPr="00503FF7">
        <w:rPr>
          <w:i/>
          <w:iCs/>
        </w:rPr>
        <w:t>a)</w:t>
      </w:r>
      <w:r>
        <w:tab/>
      </w:r>
      <w:r w:rsidR="00B37551">
        <w:t xml:space="preserve">что с </w:t>
      </w:r>
      <w:r>
        <w:t>2009</w:t>
      </w:r>
      <w:r w:rsidR="00B37551">
        <w:t xml:space="preserve"> года Директором </w:t>
      </w:r>
      <w:proofErr w:type="spellStart"/>
      <w:r w:rsidR="00B37551">
        <w:t>БСЭ</w:t>
      </w:r>
      <w:proofErr w:type="spellEnd"/>
      <w:r w:rsidR="00B37551">
        <w:t xml:space="preserve"> проводятся </w:t>
      </w:r>
      <w:r w:rsidR="00B37551">
        <w:rPr>
          <w:color w:val="000000"/>
        </w:rPr>
        <w:t>собрания главных директоров по технологиям и других руководителей</w:t>
      </w:r>
      <w:r>
        <w:t xml:space="preserve"> </w:t>
      </w:r>
      <w:r w:rsidR="00B37551">
        <w:t>для руководителей высокого уровня из частного сектора</w:t>
      </w:r>
      <w:r>
        <w:t xml:space="preserve"> </w:t>
      </w:r>
      <w:r w:rsidR="00B37551">
        <w:t xml:space="preserve">для обсуждения обстановки в области стандартизации, определения и координации приоритетов в области стандартов и способов оптимального удовлетворения потребностей частного сектора, и отчеты об этих собраниях рассматриваются </w:t>
      </w:r>
      <w:proofErr w:type="spellStart"/>
      <w:r w:rsidR="00B37551">
        <w:t>КГСЭ</w:t>
      </w:r>
      <w:proofErr w:type="spellEnd"/>
      <w:r>
        <w:t>;</w:t>
      </w:r>
    </w:p>
    <w:p w14:paraId="4B4B445B" w14:textId="030489C3" w:rsidR="00866846" w:rsidRDefault="00866846" w:rsidP="00866846">
      <w:r w:rsidRPr="00503FF7">
        <w:rPr>
          <w:i/>
          <w:iCs/>
        </w:rPr>
        <w:t>b)</w:t>
      </w:r>
      <w:r>
        <w:tab/>
      </w:r>
      <w:r w:rsidR="00F856D4">
        <w:t xml:space="preserve">что при выполнении своего мандата по консультированию </w:t>
      </w:r>
      <w:proofErr w:type="spellStart"/>
      <w:r w:rsidR="00F856D4">
        <w:t>КГСЭ</w:t>
      </w:r>
      <w:proofErr w:type="spellEnd"/>
      <w:r w:rsidR="00F856D4">
        <w:t xml:space="preserve"> и исследовательских комиссий по динамике стратегических вопросов и проведению </w:t>
      </w:r>
      <w:r w:rsidR="00F856D4">
        <w:rPr>
          <w:color w:val="000000"/>
        </w:rPr>
        <w:t>анализа пробелов в отраслевых процессах ГД</w:t>
      </w:r>
      <w:r w:rsidR="00F856D4">
        <w:noBreakHyphen/>
      </w:r>
      <w:proofErr w:type="spellStart"/>
      <w:r>
        <w:t>StdsStrat</w:t>
      </w:r>
      <w:proofErr w:type="spellEnd"/>
      <w:r w:rsidR="00F856D4">
        <w:t xml:space="preserve"> определила показатели и критерии, которые могут использоваться </w:t>
      </w:r>
      <w:r w:rsidR="00143F6B">
        <w:t xml:space="preserve">в качестве ориентира для </w:t>
      </w:r>
      <w:r w:rsidR="00B4239A">
        <w:t xml:space="preserve">стратегии, такой как рассмотрение участия </w:t>
      </w:r>
      <w:r w:rsidR="0020029B">
        <w:t xml:space="preserve">отрасли </w:t>
      </w:r>
      <w:r w:rsidR="00B4239A">
        <w:t>применительно к вкладам/присутствию/руководству</w:t>
      </w:r>
      <w:r>
        <w:t>;</w:t>
      </w:r>
    </w:p>
    <w:p w14:paraId="218A22D0" w14:textId="6EC19D88" w:rsidR="00866846" w:rsidRDefault="00866846" w:rsidP="00866846">
      <w:r w:rsidRPr="00503FF7">
        <w:rPr>
          <w:i/>
          <w:iCs/>
        </w:rPr>
        <w:t>c)</w:t>
      </w:r>
      <w:r>
        <w:tab/>
      </w:r>
      <w:r w:rsidR="00B4239A">
        <w:t xml:space="preserve">что для </w:t>
      </w:r>
      <w:r w:rsidR="00143F6B">
        <w:t>измерения</w:t>
      </w:r>
      <w:r w:rsidR="00B4239A">
        <w:t xml:space="preserve"> воздействия отрасли на достижение </w:t>
      </w:r>
      <w:r w:rsidR="00143F6B">
        <w:t>с</w:t>
      </w:r>
      <w:r w:rsidR="00B4239A">
        <w:t xml:space="preserve">тратегических целей Союза в целом в конкретных областях деятельности МСЭ-Т, </w:t>
      </w:r>
      <w:r w:rsidR="00B11341">
        <w:t>где был</w:t>
      </w:r>
      <w:r w:rsidR="00143F6B">
        <w:t>и</w:t>
      </w:r>
      <w:r w:rsidR="00B11341">
        <w:t xml:space="preserve"> получен</w:t>
      </w:r>
      <w:r w:rsidR="00143F6B">
        <w:t>ы</w:t>
      </w:r>
      <w:r w:rsidR="00B11341">
        <w:t xml:space="preserve"> существенн</w:t>
      </w:r>
      <w:r w:rsidR="00143F6B">
        <w:t xml:space="preserve">ые </w:t>
      </w:r>
      <w:r w:rsidR="00B11341">
        <w:t>дополнительн</w:t>
      </w:r>
      <w:r w:rsidR="00143F6B">
        <w:t>ые преимущества</w:t>
      </w:r>
      <w:r w:rsidR="00B11341">
        <w:t>, можно применять статистический анализ и показатели для мониторинга и оценки хода работы в различных исследовательских комиссиях МСЭ-Т</w:t>
      </w:r>
      <w:r>
        <w:t>;</w:t>
      </w:r>
    </w:p>
    <w:p w14:paraId="4B66518A" w14:textId="4268D8B6" w:rsidR="00866846" w:rsidRDefault="00866846" w:rsidP="00866846">
      <w:r w:rsidRPr="00503FF7">
        <w:rPr>
          <w:i/>
          <w:iCs/>
        </w:rPr>
        <w:t>d)</w:t>
      </w:r>
      <w:r>
        <w:tab/>
      </w:r>
      <w:r w:rsidR="00931D83">
        <w:t xml:space="preserve">что такой анализ можно применять для </w:t>
      </w:r>
      <w:r w:rsidR="00E169F9">
        <w:t xml:space="preserve">сосредоточения </w:t>
      </w:r>
      <w:r w:rsidR="00931D83">
        <w:t xml:space="preserve">ресурсов </w:t>
      </w:r>
      <w:r w:rsidR="00E169F9">
        <w:t>на</w:t>
      </w:r>
      <w:r w:rsidR="00931D83">
        <w:t xml:space="preserve"> высокоприоритетны</w:t>
      </w:r>
      <w:r w:rsidR="00E169F9">
        <w:t>х</w:t>
      </w:r>
      <w:r w:rsidR="00931D83">
        <w:t xml:space="preserve"> направления</w:t>
      </w:r>
      <w:r w:rsidR="00E169F9">
        <w:t>х</w:t>
      </w:r>
      <w:r w:rsidR="00931D83">
        <w:t xml:space="preserve"> деятельности</w:t>
      </w:r>
      <w:r>
        <w:t xml:space="preserve">; </w:t>
      </w:r>
    </w:p>
    <w:p w14:paraId="2F52FC04" w14:textId="5E460288" w:rsidR="00866846" w:rsidRDefault="00866846" w:rsidP="00866846">
      <w:r w:rsidRPr="00503FF7">
        <w:rPr>
          <w:i/>
          <w:iCs/>
        </w:rPr>
        <w:t>e)</w:t>
      </w:r>
      <w:r>
        <w:tab/>
      </w:r>
      <w:r w:rsidR="00854FEC">
        <w:t xml:space="preserve">что показатели и соотношения свидетельствуют о том, что участие отрасли оказывает несомненное воздействие на рыночную ценность </w:t>
      </w:r>
      <w:r w:rsidR="007156FB">
        <w:t>Рекомендаций</w:t>
      </w:r>
      <w:r w:rsidR="00854FEC">
        <w:t xml:space="preserve"> МСЭ-Т;</w:t>
      </w:r>
    </w:p>
    <w:p w14:paraId="1D9AF9FA" w14:textId="37877627" w:rsidR="00866846" w:rsidRDefault="00866846" w:rsidP="00866846">
      <w:r w:rsidRPr="00503FF7">
        <w:rPr>
          <w:i/>
          <w:iCs/>
        </w:rPr>
        <w:t>f)</w:t>
      </w:r>
      <w:r>
        <w:tab/>
      </w:r>
      <w:r w:rsidR="00854FEC">
        <w:t>что существуют другие важные организации по разработке стандартов, проводящие работу в аналогичных областях</w:t>
      </w:r>
      <w:r w:rsidR="0020029B">
        <w:t>,</w:t>
      </w:r>
      <w:r w:rsidR="00854FEC">
        <w:t xml:space="preserve"> и что участники из отрасли уже выделяют ресурсы другим организациям по разработке стандартов</w:t>
      </w:r>
      <w:r>
        <w:t>;</w:t>
      </w:r>
    </w:p>
    <w:p w14:paraId="5D749B19" w14:textId="69786582" w:rsidR="00866846" w:rsidRDefault="00866846" w:rsidP="00866846">
      <w:r>
        <w:rPr>
          <w:i/>
          <w:iCs/>
        </w:rPr>
        <w:t>g</w:t>
      </w:r>
      <w:r w:rsidRPr="00503FF7">
        <w:rPr>
          <w:i/>
          <w:iCs/>
        </w:rPr>
        <w:t>)</w:t>
      </w:r>
      <w:r>
        <w:tab/>
      </w:r>
      <w:r w:rsidR="007815C1">
        <w:t xml:space="preserve">что следует по мере возможности избегать дублирования </w:t>
      </w:r>
      <w:r w:rsidR="00E169F9">
        <w:t>деятельности</w:t>
      </w:r>
      <w:r w:rsidR="007815C1">
        <w:t xml:space="preserve"> </w:t>
      </w:r>
      <w:r w:rsidR="00EE44E0">
        <w:t>(частичное совпадение допустимо ввиду сложного характера тем в области ИКТ),</w:t>
      </w:r>
    </w:p>
    <w:p w14:paraId="67039821" w14:textId="3C5353F0" w:rsidR="0028169A" w:rsidRPr="00BF1F08" w:rsidRDefault="0028169A" w:rsidP="0028169A">
      <w:pPr>
        <w:pStyle w:val="Call"/>
      </w:pPr>
      <w:r w:rsidRPr="00BF1F08">
        <w:t>отмечая</w:t>
      </w:r>
      <w:r w:rsidR="0079085A" w:rsidRPr="004D7170">
        <w:rPr>
          <w:i w:val="0"/>
          <w:iCs/>
        </w:rPr>
        <w:t>,</w:t>
      </w:r>
    </w:p>
    <w:p w14:paraId="064D91AC" w14:textId="52EA61F1" w:rsidR="00866846" w:rsidRDefault="0079085A" w:rsidP="00866846">
      <w:r>
        <w:t xml:space="preserve">что эти </w:t>
      </w:r>
      <w:r>
        <w:rPr>
          <w:color w:val="000000"/>
        </w:rPr>
        <w:t>выводы, основанные на анализе данных, будут необходимы для разработки стратегии с целью обеспечения оптимизации структуры МСЭ-Т для текущей и новой работы</w:t>
      </w:r>
      <w:r w:rsidR="00866846">
        <w:t>,</w:t>
      </w:r>
    </w:p>
    <w:p w14:paraId="68DA2CBA" w14:textId="5AEC4292" w:rsidR="00866846" w:rsidRDefault="0028169A" w:rsidP="00866846">
      <w:pPr>
        <w:pStyle w:val="Call"/>
      </w:pPr>
      <w:r>
        <w:t>решает</w:t>
      </w:r>
      <w:r w:rsidRPr="0028169A">
        <w:rPr>
          <w:i w:val="0"/>
          <w:iCs/>
        </w:rPr>
        <w:t>,</w:t>
      </w:r>
    </w:p>
    <w:p w14:paraId="14F2D315" w14:textId="4BB30369" w:rsidR="00866846" w:rsidRDefault="0026421D" w:rsidP="00866846">
      <w:r>
        <w:t xml:space="preserve">что в рамках мандата, функций и обязанностей </w:t>
      </w:r>
      <w:proofErr w:type="spellStart"/>
      <w:r>
        <w:t>ВАСЭ</w:t>
      </w:r>
      <w:proofErr w:type="spellEnd"/>
      <w:r>
        <w:t xml:space="preserve"> как широкого и открытого для всех форума, на котором Государства-Члены и Член</w:t>
      </w:r>
      <w:r w:rsidR="00E169F9">
        <w:t>ы</w:t>
      </w:r>
      <w:r>
        <w:t xml:space="preserve"> Сектора </w:t>
      </w:r>
      <w:r w:rsidR="007057C9">
        <w:t>могут обсуждать будущее МСЭ-Т, рассматривать общую структуру и функционирование Сектора и устанавливать цели для МСЭ-Т</w:t>
      </w:r>
      <w:r w:rsidR="003E5F4B">
        <w:t>, следует расширять привлечение отрасли и ее участие путем осуществления мер, которые</w:t>
      </w:r>
      <w:r w:rsidR="00E169F9">
        <w:t xml:space="preserve"> </w:t>
      </w:r>
      <w:r w:rsidR="003E5F4B">
        <w:t>предусматривают</w:t>
      </w:r>
      <w:r w:rsidR="00E169F9">
        <w:t xml:space="preserve">, в том числе, </w:t>
      </w:r>
      <w:r w:rsidR="003E5F4B">
        <w:t>следующее</w:t>
      </w:r>
      <w:r w:rsidR="00866846">
        <w:t>:</w:t>
      </w:r>
    </w:p>
    <w:p w14:paraId="42989B9A" w14:textId="60C48AF9" w:rsidR="00866846" w:rsidRDefault="00866846" w:rsidP="00866846">
      <w:r>
        <w:t>1</w:t>
      </w:r>
      <w:r>
        <w:tab/>
      </w:r>
      <w:r w:rsidR="00A869C4">
        <w:t>обеспечить для Членов Сектора возможность участвовать в работе по все</w:t>
      </w:r>
      <w:r w:rsidR="0020029B">
        <w:t>м</w:t>
      </w:r>
      <w:r w:rsidR="00A869C4">
        <w:t xml:space="preserve"> глобальным и региональным вопросам, которые относятся к сфере ведения МСЭ-Т,</w:t>
      </w:r>
      <w:r w:rsidR="00D04CCF">
        <w:t xml:space="preserve"> в том числе в </w:t>
      </w:r>
      <w:proofErr w:type="spellStart"/>
      <w:r w:rsidR="00D04CCF">
        <w:t>ВАСЭ</w:t>
      </w:r>
      <w:proofErr w:type="spellEnd"/>
      <w:r w:rsidR="00D04CCF">
        <w:t>, в соответствии с условиями, установленными в соответствующих положениях Статьи 3 Устава и Резолюции 14 Полномочной конференции, как указано выше</w:t>
      </w:r>
      <w:r>
        <w:t>;</w:t>
      </w:r>
    </w:p>
    <w:p w14:paraId="73964E04" w14:textId="40C4A67B" w:rsidR="00866846" w:rsidRDefault="00866846" w:rsidP="00866846">
      <w:r>
        <w:t>2</w:t>
      </w:r>
      <w:r>
        <w:tab/>
      </w:r>
      <w:r w:rsidR="00D04CCF">
        <w:t xml:space="preserve">признать, что привлечение представителей отрасли на руководящие должности и их участие в работе на этих должностях в областях, где необходимы специальные технические знания, является одним из основных компонентов устойчивости </w:t>
      </w:r>
      <w:r w:rsidR="0020029B">
        <w:t>МС</w:t>
      </w:r>
      <w:r w:rsidR="00D04CCF">
        <w:t>Э-Т в высококонкурентной и разнообразной экосистеме стандартизации</w:t>
      </w:r>
      <w:r>
        <w:t>,</w:t>
      </w:r>
    </w:p>
    <w:p w14:paraId="683BDEF2" w14:textId="2F5C34DB" w:rsidR="00866846" w:rsidRDefault="00D04CCF" w:rsidP="00866846">
      <w:pPr>
        <w:pStyle w:val="Call"/>
      </w:pPr>
      <w:r>
        <w:lastRenderedPageBreak/>
        <w:t>предлагает Консультативной группе по стандартизации электросвязи</w:t>
      </w:r>
    </w:p>
    <w:p w14:paraId="5BE4CE8B" w14:textId="514F50AD" w:rsidR="00866846" w:rsidRDefault="00866846" w:rsidP="00866846">
      <w:r>
        <w:t>1</w:t>
      </w:r>
      <w:r>
        <w:tab/>
      </w:r>
      <w:r w:rsidR="00D04CCF">
        <w:t>изучить вопрос о создании структурной среды</w:t>
      </w:r>
      <w:r w:rsidR="000A43A6">
        <w:t>, которая позволила бы совершенствовать привлечение представителей отрасли и их участие в областях специальных знаний и опыта МСЭ-Т, включая варианты содействия процедуре систематического анализа пробелов в отношении аналогичной деятельности, проводимой в других организациях по разработке стандартов</w:t>
      </w:r>
      <w:r>
        <w:t>;</w:t>
      </w:r>
    </w:p>
    <w:p w14:paraId="73D48229" w14:textId="29499F8A" w:rsidR="00866846" w:rsidRDefault="00866846" w:rsidP="00866846">
      <w:r>
        <w:t>2</w:t>
      </w:r>
      <w:r>
        <w:tab/>
      </w:r>
      <w:r w:rsidR="007001D2">
        <w:t xml:space="preserve">продолжать анализ показателей участия </w:t>
      </w:r>
      <w:r w:rsidR="00A013B8">
        <w:t xml:space="preserve">и результатов работы </w:t>
      </w:r>
      <w:r w:rsidR="007001D2">
        <w:t>отрасли на уровне не только исследовательских комиссий, но и групп докладчиков, а также общих собраний с другими международными организациями</w:t>
      </w:r>
      <w:r>
        <w:t>;</w:t>
      </w:r>
    </w:p>
    <w:p w14:paraId="3A924CAA" w14:textId="1AAC6B53" w:rsidR="00866846" w:rsidRDefault="00866846" w:rsidP="00866846">
      <w:r>
        <w:t>3</w:t>
      </w:r>
      <w:r>
        <w:tab/>
      </w:r>
      <w:r w:rsidR="00F672BE">
        <w:t xml:space="preserve">определить варианты создания, под эгидой </w:t>
      </w:r>
      <w:proofErr w:type="spellStart"/>
      <w:r w:rsidR="00F672BE">
        <w:t>КГСЭ</w:t>
      </w:r>
      <w:proofErr w:type="spellEnd"/>
      <w:r w:rsidR="00F672BE">
        <w:t xml:space="preserve">, группы под руководством отрасли, целью которой было бы определение основных вопросов и мер для обеспечения дальнейшего расширенного </w:t>
      </w:r>
      <w:r w:rsidR="007156FB">
        <w:t xml:space="preserve">участия отрасли </w:t>
      </w:r>
      <w:r w:rsidR="00A013B8">
        <w:t>в</w:t>
      </w:r>
      <w:r w:rsidR="007156FB">
        <w:t xml:space="preserve"> работе МСЭ-Т на глобальном и региональном уровнях</w:t>
      </w:r>
      <w:r>
        <w:t>,</w:t>
      </w:r>
    </w:p>
    <w:p w14:paraId="06354454" w14:textId="77777777" w:rsidR="0028169A" w:rsidRPr="00BF5544" w:rsidRDefault="0028169A" w:rsidP="0028169A">
      <w:pPr>
        <w:pStyle w:val="Call"/>
      </w:pPr>
      <w:r w:rsidRPr="00BF5544">
        <w:t>поручает Директору Бюро стандартизации электросвязи</w:t>
      </w:r>
    </w:p>
    <w:p w14:paraId="5BF6CB45" w14:textId="2E795728" w:rsidR="00866846" w:rsidRDefault="007156FB" w:rsidP="00866846">
      <w:r>
        <w:t xml:space="preserve">проводить и расширять собрания для руководителей отрасли, которые представляют позиции, отличные от проводимых в настоящее время собраний групп </w:t>
      </w:r>
      <w:r>
        <w:rPr>
          <w:color w:val="000000"/>
        </w:rPr>
        <w:t>главных директоров по технологиям и других руководителей</w:t>
      </w:r>
      <w:r>
        <w:t xml:space="preserve"> для содействия определения и координации приоритетов и тем стандартизации и для представления отчетов </w:t>
      </w:r>
      <w:proofErr w:type="spellStart"/>
      <w:r>
        <w:t>КГСЭ</w:t>
      </w:r>
      <w:proofErr w:type="spellEnd"/>
      <w:r w:rsidR="00866846">
        <w:t>,</w:t>
      </w:r>
    </w:p>
    <w:p w14:paraId="25E0F71A" w14:textId="47D1BED2" w:rsidR="00866846" w:rsidRDefault="00F96735" w:rsidP="00866846">
      <w:pPr>
        <w:pStyle w:val="Call"/>
      </w:pPr>
      <w:r w:rsidRPr="0028169A">
        <w:t xml:space="preserve">предлагает </w:t>
      </w:r>
      <w:r>
        <w:t>Бюро стандартизации электросвязи</w:t>
      </w:r>
    </w:p>
    <w:p w14:paraId="42745C8A" w14:textId="31F8BA0E" w:rsidR="00866846" w:rsidRDefault="007156FB" w:rsidP="00866846">
      <w:r>
        <w:t xml:space="preserve">оказывать помощь исследовательским комиссиям и </w:t>
      </w:r>
      <w:proofErr w:type="spellStart"/>
      <w:r>
        <w:t>КГСЭ</w:t>
      </w:r>
      <w:proofErr w:type="spellEnd"/>
      <w:r>
        <w:t xml:space="preserve"> в определении дальнейших мер по</w:t>
      </w:r>
      <w:r w:rsidR="004D7170">
        <w:rPr>
          <w:lang w:val="en-US"/>
        </w:rPr>
        <w:t> </w:t>
      </w:r>
      <w:r>
        <w:t>расширению участия отрасли в работе МСЭ-Т</w:t>
      </w:r>
      <w:r w:rsidR="00866846">
        <w:t>,</w:t>
      </w:r>
    </w:p>
    <w:p w14:paraId="050EE78A" w14:textId="1EDEB6BF" w:rsidR="00866846" w:rsidRDefault="0028169A" w:rsidP="00866846">
      <w:pPr>
        <w:pStyle w:val="Call"/>
      </w:pPr>
      <w:r w:rsidRPr="0028169A">
        <w:t xml:space="preserve">предлагает Государствам-Членам, Членам Сектора, Ассоциированным членам и </w:t>
      </w:r>
      <w:r w:rsidR="007156FB">
        <w:t xml:space="preserve">другим участникам работы </w:t>
      </w:r>
      <w:r w:rsidR="00F96735">
        <w:t>МСЭ</w:t>
      </w:r>
      <w:r w:rsidR="00866846">
        <w:t>-T</w:t>
      </w:r>
    </w:p>
    <w:p w14:paraId="27D53E99" w14:textId="4D8F35AE" w:rsidR="00866846" w:rsidRDefault="007156FB" w:rsidP="00866846">
      <w:r>
        <w:t xml:space="preserve">представлять вклады и предложения </w:t>
      </w:r>
      <w:r w:rsidR="008A3424">
        <w:t>по расширению привлечения отрасли и ее участия</w:t>
      </w:r>
      <w:r w:rsidR="00866846">
        <w:t>.</w:t>
      </w:r>
    </w:p>
    <w:p w14:paraId="157DC8F2" w14:textId="77777777" w:rsidR="00866846" w:rsidRDefault="00866846" w:rsidP="00CE7F26">
      <w:pPr>
        <w:pStyle w:val="Reasons"/>
      </w:pPr>
    </w:p>
    <w:p w14:paraId="20D016C8" w14:textId="23456068" w:rsidR="0073137C" w:rsidRPr="00866846" w:rsidRDefault="00866846" w:rsidP="00866846">
      <w:pPr>
        <w:jc w:val="center"/>
      </w:pPr>
      <w:r>
        <w:t>______________</w:t>
      </w:r>
    </w:p>
    <w:sectPr w:rsidR="0073137C" w:rsidRPr="00866846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453F9" w14:textId="77777777" w:rsidR="007156FB" w:rsidRDefault="007156FB">
      <w:r>
        <w:separator/>
      </w:r>
    </w:p>
  </w:endnote>
  <w:endnote w:type="continuationSeparator" w:id="0">
    <w:p w14:paraId="263B78D8" w14:textId="77777777" w:rsidR="007156FB" w:rsidRDefault="0071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5B4F" w14:textId="77777777" w:rsidR="007156FB" w:rsidRDefault="007156F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769DEEF" w14:textId="781EEAFC" w:rsidR="007156FB" w:rsidRPr="0081088B" w:rsidRDefault="007156FB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7365">
      <w:rPr>
        <w:noProof/>
      </w:rPr>
      <w:t>13.08.21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E227" w14:textId="1865B30B" w:rsidR="007156FB" w:rsidRPr="004D7170" w:rsidRDefault="007156FB" w:rsidP="00777F17">
    <w:pPr>
      <w:pStyle w:val="Footer"/>
      <w:rPr>
        <w:lang w:val="fr-FR"/>
      </w:rPr>
    </w:pPr>
    <w:r>
      <w:fldChar w:fldCharType="begin"/>
    </w:r>
    <w:r w:rsidRPr="004D7170">
      <w:rPr>
        <w:lang w:val="fr-FR"/>
      </w:rPr>
      <w:instrText xml:space="preserve"> FILENAME \p  \* MERGEFORMAT </w:instrText>
    </w:r>
    <w:r>
      <w:fldChar w:fldCharType="separate"/>
    </w:r>
    <w:r w:rsidR="0078484D">
      <w:rPr>
        <w:lang w:val="fr-FR"/>
      </w:rPr>
      <w:t>P:\RUS\ITU-T\CONF-T\WTSA20\000\038ADD25V2R.DOCX</w:t>
    </w:r>
    <w:r>
      <w:fldChar w:fldCharType="end"/>
    </w:r>
    <w:r w:rsidRPr="004D7170">
      <w:rPr>
        <w:lang w:val="fr-FR"/>
      </w:rPr>
      <w:t xml:space="preserve"> (493165)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614E" w14:textId="0BCBAC15" w:rsidR="007156FB" w:rsidRPr="004D7170" w:rsidRDefault="007156FB">
    <w:pPr>
      <w:pStyle w:val="Footer"/>
      <w:rPr>
        <w:lang w:val="fr-FR"/>
      </w:rPr>
    </w:pPr>
    <w:r>
      <w:fldChar w:fldCharType="begin"/>
    </w:r>
    <w:r w:rsidRPr="004D7170">
      <w:rPr>
        <w:lang w:val="fr-FR"/>
      </w:rPr>
      <w:instrText xml:space="preserve"> FILENAME \p  \* MERGEFORMAT </w:instrText>
    </w:r>
    <w:r>
      <w:fldChar w:fldCharType="separate"/>
    </w:r>
    <w:r w:rsidR="0078484D">
      <w:rPr>
        <w:lang w:val="fr-FR"/>
      </w:rPr>
      <w:t>P:\RUS\ITU-T\CONF-T\WTSA20\000\038ADD25V2R.DOCX</w:t>
    </w:r>
    <w:r>
      <w:fldChar w:fldCharType="end"/>
    </w:r>
    <w:r w:rsidRPr="004D7170">
      <w:rPr>
        <w:lang w:val="fr-FR"/>
      </w:rPr>
      <w:t xml:space="preserve"> (493165)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B36D" w14:textId="77777777" w:rsidR="007156FB" w:rsidRDefault="007156FB">
      <w:r>
        <w:rPr>
          <w:b/>
        </w:rPr>
        <w:t>_______________</w:t>
      </w:r>
    </w:p>
  </w:footnote>
  <w:footnote w:type="continuationSeparator" w:id="0">
    <w:p w14:paraId="775A332F" w14:textId="77777777" w:rsidR="007156FB" w:rsidRDefault="0071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F0C2" w14:textId="77777777" w:rsidR="007156FB" w:rsidRPr="00434A7C" w:rsidRDefault="007156FB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9D61592" w14:textId="5AD47FC2" w:rsidR="007156FB" w:rsidRDefault="007156FB" w:rsidP="00FC66E3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78484D">
      <w:rPr>
        <w:noProof/>
        <w:lang w:val="en-US"/>
      </w:rPr>
      <w:t>Дополнительный документ 25</w:t>
    </w:r>
    <w:r w:rsidR="0078484D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43A6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26FE"/>
    <w:rsid w:val="001434F1"/>
    <w:rsid w:val="00143F6B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029B"/>
    <w:rsid w:val="00202CA0"/>
    <w:rsid w:val="00213317"/>
    <w:rsid w:val="00230582"/>
    <w:rsid w:val="002357D1"/>
    <w:rsid w:val="00237D09"/>
    <w:rsid w:val="002449AA"/>
    <w:rsid w:val="00245A1F"/>
    <w:rsid w:val="00260148"/>
    <w:rsid w:val="00261604"/>
    <w:rsid w:val="0026421D"/>
    <w:rsid w:val="0028169A"/>
    <w:rsid w:val="00290C74"/>
    <w:rsid w:val="002A2D3F"/>
    <w:rsid w:val="002E533D"/>
    <w:rsid w:val="00300F84"/>
    <w:rsid w:val="00344EB8"/>
    <w:rsid w:val="00346BEC"/>
    <w:rsid w:val="003510B0"/>
    <w:rsid w:val="00370D9A"/>
    <w:rsid w:val="00373DB6"/>
    <w:rsid w:val="00384647"/>
    <w:rsid w:val="003C583C"/>
    <w:rsid w:val="003E5F4B"/>
    <w:rsid w:val="003F0078"/>
    <w:rsid w:val="004037F2"/>
    <w:rsid w:val="0040677A"/>
    <w:rsid w:val="00412A42"/>
    <w:rsid w:val="00432FFB"/>
    <w:rsid w:val="00434A7C"/>
    <w:rsid w:val="0044605E"/>
    <w:rsid w:val="0045143A"/>
    <w:rsid w:val="00496734"/>
    <w:rsid w:val="004A3645"/>
    <w:rsid w:val="004A58F4"/>
    <w:rsid w:val="004C47ED"/>
    <w:rsid w:val="004C557F"/>
    <w:rsid w:val="004D3C26"/>
    <w:rsid w:val="004D7170"/>
    <w:rsid w:val="004D7DDA"/>
    <w:rsid w:val="004E2E0A"/>
    <w:rsid w:val="004E7FB3"/>
    <w:rsid w:val="0051315E"/>
    <w:rsid w:val="00514E1F"/>
    <w:rsid w:val="00522CCE"/>
    <w:rsid w:val="005305D5"/>
    <w:rsid w:val="00533D06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6F85"/>
    <w:rsid w:val="006023DF"/>
    <w:rsid w:val="006032F3"/>
    <w:rsid w:val="00612A80"/>
    <w:rsid w:val="00620DD7"/>
    <w:rsid w:val="0062556C"/>
    <w:rsid w:val="00626CF7"/>
    <w:rsid w:val="00636BD4"/>
    <w:rsid w:val="00657DE0"/>
    <w:rsid w:val="00662A60"/>
    <w:rsid w:val="00665A95"/>
    <w:rsid w:val="00676032"/>
    <w:rsid w:val="00687F04"/>
    <w:rsid w:val="00687F81"/>
    <w:rsid w:val="00692C06"/>
    <w:rsid w:val="00695A7B"/>
    <w:rsid w:val="006A281B"/>
    <w:rsid w:val="006A6E9B"/>
    <w:rsid w:val="006D60C3"/>
    <w:rsid w:val="007001D2"/>
    <w:rsid w:val="007036B6"/>
    <w:rsid w:val="007057C9"/>
    <w:rsid w:val="007156FB"/>
    <w:rsid w:val="00722C7B"/>
    <w:rsid w:val="00730A90"/>
    <w:rsid w:val="0073137C"/>
    <w:rsid w:val="00763F4F"/>
    <w:rsid w:val="00771973"/>
    <w:rsid w:val="00775720"/>
    <w:rsid w:val="007772E3"/>
    <w:rsid w:val="00777F17"/>
    <w:rsid w:val="007815C1"/>
    <w:rsid w:val="0078484D"/>
    <w:rsid w:val="0079085A"/>
    <w:rsid w:val="00794694"/>
    <w:rsid w:val="007A08B5"/>
    <w:rsid w:val="007A7F49"/>
    <w:rsid w:val="007F1E3A"/>
    <w:rsid w:val="0081088B"/>
    <w:rsid w:val="00811633"/>
    <w:rsid w:val="00812452"/>
    <w:rsid w:val="00820220"/>
    <w:rsid w:val="00840BEC"/>
    <w:rsid w:val="00854FEC"/>
    <w:rsid w:val="00866846"/>
    <w:rsid w:val="00872232"/>
    <w:rsid w:val="00872FC8"/>
    <w:rsid w:val="008A16DC"/>
    <w:rsid w:val="008A3424"/>
    <w:rsid w:val="008B07D5"/>
    <w:rsid w:val="008B43F2"/>
    <w:rsid w:val="008B7AD2"/>
    <w:rsid w:val="008C3257"/>
    <w:rsid w:val="008E73FD"/>
    <w:rsid w:val="009119CC"/>
    <w:rsid w:val="00915305"/>
    <w:rsid w:val="00917C0A"/>
    <w:rsid w:val="0092220F"/>
    <w:rsid w:val="00922CD0"/>
    <w:rsid w:val="00931D83"/>
    <w:rsid w:val="00941A02"/>
    <w:rsid w:val="00960EC0"/>
    <w:rsid w:val="0097126C"/>
    <w:rsid w:val="00972470"/>
    <w:rsid w:val="009825E6"/>
    <w:rsid w:val="009860A5"/>
    <w:rsid w:val="00993F0B"/>
    <w:rsid w:val="009A7365"/>
    <w:rsid w:val="009B5CC2"/>
    <w:rsid w:val="009D5334"/>
    <w:rsid w:val="009E3150"/>
    <w:rsid w:val="009E5FC8"/>
    <w:rsid w:val="00A013B8"/>
    <w:rsid w:val="00A138D0"/>
    <w:rsid w:val="00A141AF"/>
    <w:rsid w:val="00A2044F"/>
    <w:rsid w:val="00A4600A"/>
    <w:rsid w:val="00A57C04"/>
    <w:rsid w:val="00A61057"/>
    <w:rsid w:val="00A710E7"/>
    <w:rsid w:val="00A805D6"/>
    <w:rsid w:val="00A81026"/>
    <w:rsid w:val="00A85E0F"/>
    <w:rsid w:val="00A869C4"/>
    <w:rsid w:val="00A97EC0"/>
    <w:rsid w:val="00AC66E6"/>
    <w:rsid w:val="00AE1A31"/>
    <w:rsid w:val="00AF0DC9"/>
    <w:rsid w:val="00B0332B"/>
    <w:rsid w:val="00B11341"/>
    <w:rsid w:val="00B37551"/>
    <w:rsid w:val="00B4239A"/>
    <w:rsid w:val="00B450E6"/>
    <w:rsid w:val="00B468A6"/>
    <w:rsid w:val="00B53202"/>
    <w:rsid w:val="00B6592E"/>
    <w:rsid w:val="00B74600"/>
    <w:rsid w:val="00B74D17"/>
    <w:rsid w:val="00BA13A4"/>
    <w:rsid w:val="00BA1AA1"/>
    <w:rsid w:val="00BA35DC"/>
    <w:rsid w:val="00BB4914"/>
    <w:rsid w:val="00BB7FA0"/>
    <w:rsid w:val="00BC5313"/>
    <w:rsid w:val="00BD6EA8"/>
    <w:rsid w:val="00C20466"/>
    <w:rsid w:val="00C27D42"/>
    <w:rsid w:val="00C30A6E"/>
    <w:rsid w:val="00C324A8"/>
    <w:rsid w:val="00C4430B"/>
    <w:rsid w:val="00C51090"/>
    <w:rsid w:val="00C56E7A"/>
    <w:rsid w:val="00C6211B"/>
    <w:rsid w:val="00C63928"/>
    <w:rsid w:val="00C72022"/>
    <w:rsid w:val="00C96A90"/>
    <w:rsid w:val="00C96E00"/>
    <w:rsid w:val="00CB3402"/>
    <w:rsid w:val="00CC47C6"/>
    <w:rsid w:val="00CC4DE6"/>
    <w:rsid w:val="00CE5E47"/>
    <w:rsid w:val="00CE7F26"/>
    <w:rsid w:val="00CF020F"/>
    <w:rsid w:val="00D02058"/>
    <w:rsid w:val="00D04CCF"/>
    <w:rsid w:val="00D05113"/>
    <w:rsid w:val="00D10152"/>
    <w:rsid w:val="00D15F4D"/>
    <w:rsid w:val="00D34729"/>
    <w:rsid w:val="00D464CC"/>
    <w:rsid w:val="00D53715"/>
    <w:rsid w:val="00D67A38"/>
    <w:rsid w:val="00DD55AB"/>
    <w:rsid w:val="00DE2EBA"/>
    <w:rsid w:val="00E003CD"/>
    <w:rsid w:val="00E11080"/>
    <w:rsid w:val="00E169F9"/>
    <w:rsid w:val="00E2253F"/>
    <w:rsid w:val="00E43B1B"/>
    <w:rsid w:val="00E5155F"/>
    <w:rsid w:val="00E976C1"/>
    <w:rsid w:val="00EB6BCD"/>
    <w:rsid w:val="00EC1AE7"/>
    <w:rsid w:val="00EE1364"/>
    <w:rsid w:val="00EE44E0"/>
    <w:rsid w:val="00EF3B80"/>
    <w:rsid w:val="00EF7176"/>
    <w:rsid w:val="00F17CA4"/>
    <w:rsid w:val="00F26799"/>
    <w:rsid w:val="00F33C04"/>
    <w:rsid w:val="00F454CF"/>
    <w:rsid w:val="00F63A2A"/>
    <w:rsid w:val="00F65C19"/>
    <w:rsid w:val="00F672BE"/>
    <w:rsid w:val="00F74F56"/>
    <w:rsid w:val="00F761D2"/>
    <w:rsid w:val="00F856D4"/>
    <w:rsid w:val="00F955FA"/>
    <w:rsid w:val="00F96735"/>
    <w:rsid w:val="00F97203"/>
    <w:rsid w:val="00FC63FD"/>
    <w:rsid w:val="00FC66E3"/>
    <w:rsid w:val="00FD06AE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D824D2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4D7170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4D7170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dccf4d5-4858-497c-9393-ccef46cc3920" targetNamespace="http://schemas.microsoft.com/office/2006/metadata/properties" ma:root="true" ma:fieldsID="d41af5c836d734370eb92e7ee5f83852" ns2:_="" ns3:_="">
    <xsd:import namespace="996b2e75-67fd-4955-a3b0-5ab9934cb50b"/>
    <xsd:import namespace="edccf4d5-4858-497c-9393-ccef46cc392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cf4d5-4858-497c-9393-ccef46cc392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dccf4d5-4858-497c-9393-ccef46cc3920">DPM</DPM_x0020_Author>
    <DPM_x0020_File_x0020_name xmlns="edccf4d5-4858-497c-9393-ccef46cc3920">T17-WTSA.20-C-0038!A25!MSW-R</DPM_x0020_File_x0020_name>
    <DPM_x0020_Version xmlns="edccf4d5-4858-497c-9393-ccef46cc3920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dccf4d5-4858-497c-9393-ccef46cc3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edccf4d5-4858-497c-9393-ccef46cc3920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1216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T17-WTSA.20-C-0038!A25!MSW-R</vt:lpstr>
    </vt:vector>
  </TitlesOfParts>
  <Manager>General Secretariat - Pool</Manager>
  <Company>International Telecommunication Union (ITU)</Company>
  <LinksUpToDate>false</LinksUpToDate>
  <CharactersWithSpaces>9729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T17-WTSA.20-C-0038!A25!MSW-R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6</cp:revision>
  <cp:lastPrinted>2016-03-08T13:33:00Z</cp:lastPrinted>
  <dcterms:created xsi:type="dcterms:W3CDTF">2021-08-12T20:55:00Z</dcterms:created>
  <dcterms:modified xsi:type="dcterms:W3CDTF">2021-09-18T14:44:00Z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