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632067" w14:paraId="52A50DD4" w14:textId="77777777" w:rsidTr="00CF2532">
        <w:trPr>
          <w:cantSplit/>
        </w:trPr>
        <w:tc>
          <w:tcPr>
            <w:tcW w:w="6804" w:type="dxa"/>
            <w:vAlign w:val="center"/>
          </w:tcPr>
          <w:p w14:paraId="19D1E860" w14:textId="20905A14" w:rsidR="00CF2532" w:rsidRPr="00632067" w:rsidRDefault="00CF2532" w:rsidP="00B0183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32067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632067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632067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CA1B9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63206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4CC74AE" w14:textId="77777777" w:rsidR="00CF2532" w:rsidRPr="00632067" w:rsidRDefault="00CF2532" w:rsidP="00B01838">
            <w:pPr>
              <w:spacing w:before="0"/>
              <w:rPr>
                <w:lang w:val="fr-FR"/>
              </w:rPr>
            </w:pPr>
            <w:r w:rsidRPr="00632067">
              <w:rPr>
                <w:noProof/>
                <w:lang w:val="en-US"/>
              </w:rPr>
              <w:drawing>
                <wp:inline distT="0" distB="0" distL="0" distR="0" wp14:anchorId="7093D7EA" wp14:editId="72CF13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32067" w14:paraId="049E4024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11056F5" w14:textId="77777777" w:rsidR="00595780" w:rsidRPr="00632067" w:rsidRDefault="00595780" w:rsidP="00B01838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0AE4BFC9" w14:textId="77777777" w:rsidR="00595780" w:rsidRPr="00632067" w:rsidRDefault="00595780" w:rsidP="00B01838">
            <w:pPr>
              <w:spacing w:before="0"/>
              <w:rPr>
                <w:lang w:val="fr-FR"/>
              </w:rPr>
            </w:pPr>
          </w:p>
        </w:tc>
      </w:tr>
      <w:tr w:rsidR="001D581B" w:rsidRPr="00632067" w14:paraId="6710FBDF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60F4872" w14:textId="77777777" w:rsidR="00595780" w:rsidRPr="00632067" w:rsidRDefault="00595780" w:rsidP="00B01838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35B0D10" w14:textId="77777777" w:rsidR="00595780" w:rsidRPr="00632067" w:rsidRDefault="00595780" w:rsidP="00B01838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632067" w14:paraId="6F3B0794" w14:textId="77777777" w:rsidTr="00530525">
        <w:trPr>
          <w:cantSplit/>
        </w:trPr>
        <w:tc>
          <w:tcPr>
            <w:tcW w:w="6804" w:type="dxa"/>
          </w:tcPr>
          <w:p w14:paraId="119B8AC8" w14:textId="77777777" w:rsidR="00C26BA2" w:rsidRPr="00632067" w:rsidRDefault="00C26BA2" w:rsidP="00B01838">
            <w:pPr>
              <w:spacing w:before="0"/>
              <w:rPr>
                <w:lang w:val="fr-FR"/>
              </w:rPr>
            </w:pPr>
            <w:r w:rsidRPr="00632067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1727DC4C" w14:textId="701AFF6C" w:rsidR="00C26BA2" w:rsidRPr="00632067" w:rsidRDefault="00C26BA2" w:rsidP="00B01838">
            <w:pPr>
              <w:pStyle w:val="DocNumber"/>
              <w:rPr>
                <w:lang w:val="fr-FR"/>
              </w:rPr>
            </w:pPr>
            <w:r w:rsidRPr="00632067">
              <w:rPr>
                <w:lang w:val="fr-FR"/>
              </w:rPr>
              <w:t>Addendum 25 au</w:t>
            </w:r>
            <w:r w:rsidRPr="00632067">
              <w:rPr>
                <w:lang w:val="fr-FR"/>
              </w:rPr>
              <w:br/>
              <w:t>Document 38</w:t>
            </w:r>
            <w:r w:rsidR="005F5932" w:rsidRPr="00632067">
              <w:rPr>
                <w:lang w:val="fr-FR"/>
              </w:rPr>
              <w:t>-F</w:t>
            </w:r>
          </w:p>
        </w:tc>
      </w:tr>
      <w:tr w:rsidR="001D581B" w:rsidRPr="00632067" w14:paraId="75C806EF" w14:textId="77777777" w:rsidTr="00530525">
        <w:trPr>
          <w:cantSplit/>
        </w:trPr>
        <w:tc>
          <w:tcPr>
            <w:tcW w:w="6804" w:type="dxa"/>
          </w:tcPr>
          <w:p w14:paraId="469EACE8" w14:textId="77777777" w:rsidR="00595780" w:rsidRPr="00632067" w:rsidRDefault="00595780" w:rsidP="00B01838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05C08BC" w14:textId="77777777" w:rsidR="00595780" w:rsidRPr="00632067" w:rsidRDefault="00C26BA2" w:rsidP="00B01838">
            <w:pPr>
              <w:spacing w:before="0"/>
              <w:rPr>
                <w:lang w:val="fr-FR"/>
              </w:rPr>
            </w:pPr>
            <w:r w:rsidRPr="00632067">
              <w:rPr>
                <w:rFonts w:ascii="Verdana" w:hAnsi="Verdana"/>
                <w:b/>
                <w:sz w:val="20"/>
                <w:lang w:val="fr-FR"/>
              </w:rPr>
              <w:t>5 mai 2021</w:t>
            </w:r>
          </w:p>
        </w:tc>
      </w:tr>
      <w:tr w:rsidR="001D581B" w:rsidRPr="00632067" w14:paraId="03A7CD46" w14:textId="77777777" w:rsidTr="00530525">
        <w:trPr>
          <w:cantSplit/>
        </w:trPr>
        <w:tc>
          <w:tcPr>
            <w:tcW w:w="6804" w:type="dxa"/>
          </w:tcPr>
          <w:p w14:paraId="15BEFB95" w14:textId="77777777" w:rsidR="00595780" w:rsidRPr="00632067" w:rsidRDefault="00595780" w:rsidP="00B01838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AC6473D" w14:textId="77777777" w:rsidR="00595780" w:rsidRPr="00632067" w:rsidRDefault="00C26BA2" w:rsidP="00B01838">
            <w:pPr>
              <w:spacing w:before="0"/>
              <w:rPr>
                <w:lang w:val="fr-FR"/>
              </w:rPr>
            </w:pPr>
            <w:r w:rsidRPr="00632067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32067" w14:paraId="18A3F1A5" w14:textId="77777777" w:rsidTr="00530525">
        <w:trPr>
          <w:cantSplit/>
        </w:trPr>
        <w:tc>
          <w:tcPr>
            <w:tcW w:w="9811" w:type="dxa"/>
            <w:gridSpan w:val="2"/>
          </w:tcPr>
          <w:p w14:paraId="577AAF4D" w14:textId="77777777" w:rsidR="000032AD" w:rsidRPr="00632067" w:rsidRDefault="000032AD" w:rsidP="00B01838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466B66" w14:paraId="37FE5BBB" w14:textId="77777777" w:rsidTr="00530525">
        <w:trPr>
          <w:cantSplit/>
        </w:trPr>
        <w:tc>
          <w:tcPr>
            <w:tcW w:w="9811" w:type="dxa"/>
            <w:gridSpan w:val="2"/>
          </w:tcPr>
          <w:p w14:paraId="647A0428" w14:textId="2B454D5C" w:rsidR="00595780" w:rsidRPr="00632067" w:rsidRDefault="005F5932" w:rsidP="00B01838">
            <w:pPr>
              <w:pStyle w:val="Source"/>
              <w:rPr>
                <w:lang w:val="fr-FR"/>
              </w:rPr>
            </w:pPr>
            <w:r w:rsidRPr="00632067">
              <w:rPr>
                <w:lang w:val="fr-FR"/>
              </w:rPr>
              <w:t>É</w:t>
            </w:r>
            <w:r w:rsidR="00C26BA2" w:rsidRPr="00632067">
              <w:rPr>
                <w:lang w:val="fr-FR"/>
              </w:rPr>
              <w:t>tats Membres de la Conférence européenne des administrations</w:t>
            </w:r>
            <w:r w:rsidRPr="00632067">
              <w:rPr>
                <w:lang w:val="fr-FR"/>
              </w:rPr>
              <w:br/>
            </w:r>
            <w:r w:rsidR="00C26BA2" w:rsidRPr="00632067">
              <w:rPr>
                <w:lang w:val="fr-FR"/>
              </w:rPr>
              <w:t>des postes et télécommunications (CEPT)</w:t>
            </w:r>
          </w:p>
        </w:tc>
      </w:tr>
      <w:tr w:rsidR="00595780" w:rsidRPr="00466B66" w14:paraId="2F24720D" w14:textId="77777777" w:rsidTr="00530525">
        <w:trPr>
          <w:cantSplit/>
        </w:trPr>
        <w:tc>
          <w:tcPr>
            <w:tcW w:w="9811" w:type="dxa"/>
            <w:gridSpan w:val="2"/>
          </w:tcPr>
          <w:p w14:paraId="3411EFAC" w14:textId="6FF51F00" w:rsidR="00595780" w:rsidRPr="00632067" w:rsidRDefault="00153B59" w:rsidP="00B01838">
            <w:pPr>
              <w:pStyle w:val="Title1"/>
              <w:rPr>
                <w:lang w:val="fr-FR"/>
              </w:rPr>
            </w:pPr>
            <w:r w:rsidRPr="00632067">
              <w:rPr>
                <w:lang w:val="fr-FR"/>
              </w:rPr>
              <w:t>PROPOSITION DE NOUVELLE R</w:t>
            </w:r>
            <w:r w:rsidR="007716BA" w:rsidRPr="00632067">
              <w:rPr>
                <w:lang w:val="fr-FR"/>
              </w:rPr>
              <w:t>É</w:t>
            </w:r>
            <w:r w:rsidRPr="00632067">
              <w:rPr>
                <w:lang w:val="fr-FR"/>
              </w:rPr>
              <w:t>SOLUTION</w:t>
            </w:r>
            <w:r w:rsidR="00C26BA2" w:rsidRPr="00632067">
              <w:rPr>
                <w:lang w:val="fr-FR"/>
              </w:rPr>
              <w:t xml:space="preserve"> [ECP-1] </w:t>
            </w:r>
            <w:r w:rsidR="005F5932" w:rsidRPr="00632067">
              <w:rPr>
                <w:lang w:val="fr-FR"/>
              </w:rPr>
              <w:t>–</w:t>
            </w:r>
            <w:r w:rsidR="00C26BA2" w:rsidRPr="00632067">
              <w:rPr>
                <w:lang w:val="fr-FR"/>
              </w:rPr>
              <w:t xml:space="preserve"> Importance </w:t>
            </w:r>
            <w:r w:rsidR="00DD3BDA" w:rsidRPr="00632067">
              <w:rPr>
                <w:lang w:val="fr-FR"/>
              </w:rPr>
              <w:t xml:space="preserve">DE LA PARTICIPATION </w:t>
            </w:r>
            <w:r w:rsidR="007716BA" w:rsidRPr="00632067">
              <w:rPr>
                <w:lang w:val="fr-FR"/>
              </w:rPr>
              <w:t>DU SECTEUR privÉ</w:t>
            </w:r>
            <w:r w:rsidR="00DD3BDA" w:rsidRPr="00632067">
              <w:rPr>
                <w:lang w:val="fr-FR"/>
              </w:rPr>
              <w:t xml:space="preserve"> AUX TRAVAUX DE L'UIT-T </w:t>
            </w:r>
          </w:p>
        </w:tc>
      </w:tr>
      <w:tr w:rsidR="00595780" w:rsidRPr="00466B66" w14:paraId="19D757E7" w14:textId="77777777" w:rsidTr="00530525">
        <w:trPr>
          <w:cantSplit/>
        </w:trPr>
        <w:tc>
          <w:tcPr>
            <w:tcW w:w="9811" w:type="dxa"/>
            <w:gridSpan w:val="2"/>
          </w:tcPr>
          <w:p w14:paraId="24382B06" w14:textId="77777777" w:rsidR="00595780" w:rsidRPr="00632067" w:rsidRDefault="00595780" w:rsidP="00B01838">
            <w:pPr>
              <w:pStyle w:val="Title2"/>
              <w:rPr>
                <w:lang w:val="fr-FR"/>
              </w:rPr>
            </w:pPr>
          </w:p>
        </w:tc>
      </w:tr>
      <w:tr w:rsidR="00C26BA2" w:rsidRPr="00466B66" w14:paraId="32AE8D30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55400C5" w14:textId="77777777" w:rsidR="00C26BA2" w:rsidRPr="00632067" w:rsidRDefault="00C26BA2" w:rsidP="00B01838">
            <w:pPr>
              <w:pStyle w:val="Agendaitem"/>
              <w:rPr>
                <w:lang w:val="fr-FR"/>
              </w:rPr>
            </w:pPr>
          </w:p>
        </w:tc>
      </w:tr>
    </w:tbl>
    <w:p w14:paraId="6D6B3B95" w14:textId="77777777" w:rsidR="00E11197" w:rsidRPr="00632067" w:rsidRDefault="00E11197" w:rsidP="00B01838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466B66" w14:paraId="62937135" w14:textId="77777777" w:rsidTr="00081194">
        <w:trPr>
          <w:cantSplit/>
        </w:trPr>
        <w:tc>
          <w:tcPr>
            <w:tcW w:w="1912" w:type="dxa"/>
          </w:tcPr>
          <w:p w14:paraId="45D9B877" w14:textId="77777777" w:rsidR="00E11197" w:rsidRPr="00632067" w:rsidRDefault="00E11197" w:rsidP="00B01838">
            <w:pPr>
              <w:rPr>
                <w:lang w:val="fr-FR"/>
              </w:rPr>
            </w:pPr>
            <w:r w:rsidRPr="00632067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4C869874" w14:textId="18067E1B" w:rsidR="00E11197" w:rsidRPr="00632067" w:rsidRDefault="009B78EA" w:rsidP="00466B66">
            <w:pPr>
              <w:rPr>
                <w:color w:val="000000" w:themeColor="text1"/>
                <w:lang w:val="fr-FR"/>
              </w:rPr>
            </w:pPr>
            <w:r w:rsidRPr="00632067">
              <w:rPr>
                <w:color w:val="000000" w:themeColor="text1"/>
                <w:lang w:val="fr-FR"/>
              </w:rPr>
              <w:t>Afin de</w:t>
            </w:r>
            <w:r w:rsidR="000D1A70" w:rsidRPr="00632067">
              <w:rPr>
                <w:color w:val="000000" w:themeColor="text1"/>
                <w:lang w:val="fr-FR"/>
              </w:rPr>
              <w:t xml:space="preserve"> </w:t>
            </w:r>
            <w:r w:rsidR="00E56193" w:rsidRPr="00632067">
              <w:rPr>
                <w:color w:val="000000" w:themeColor="text1"/>
                <w:lang w:val="fr-FR"/>
              </w:rPr>
              <w:t xml:space="preserve">répondre à </w:t>
            </w:r>
            <w:r w:rsidR="00A258A6" w:rsidRPr="00632067">
              <w:rPr>
                <w:color w:val="000000" w:themeColor="text1"/>
                <w:lang w:val="fr-FR"/>
              </w:rPr>
              <w:t>l'obje</w:t>
            </w:r>
            <w:r w:rsidRPr="00632067">
              <w:rPr>
                <w:color w:val="000000" w:themeColor="text1"/>
                <w:lang w:val="fr-FR"/>
              </w:rPr>
              <w:t>t</w:t>
            </w:r>
            <w:r w:rsidR="000D1A70" w:rsidRPr="00632067">
              <w:rPr>
                <w:color w:val="000000" w:themeColor="text1"/>
                <w:lang w:val="fr-FR"/>
              </w:rPr>
              <w:t xml:space="preserve"> de l'UIT, tel </w:t>
            </w:r>
            <w:r w:rsidR="00E56193" w:rsidRPr="00632067">
              <w:rPr>
                <w:color w:val="000000" w:themeColor="text1"/>
                <w:lang w:val="fr-FR"/>
              </w:rPr>
              <w:t>qu</w:t>
            </w:r>
            <w:r w:rsidR="00B01838" w:rsidRPr="00632067">
              <w:rPr>
                <w:color w:val="000000" w:themeColor="text1"/>
                <w:lang w:val="fr-FR"/>
              </w:rPr>
              <w:t>'</w:t>
            </w:r>
            <w:r w:rsidR="00E56193" w:rsidRPr="00632067">
              <w:rPr>
                <w:color w:val="000000" w:themeColor="text1"/>
                <w:lang w:val="fr-FR"/>
              </w:rPr>
              <w:t xml:space="preserve">il est </w:t>
            </w:r>
            <w:r w:rsidR="000D1A70" w:rsidRPr="00632067">
              <w:rPr>
                <w:color w:val="000000" w:themeColor="text1"/>
                <w:lang w:val="fr-FR"/>
              </w:rPr>
              <w:t>défini dans l'</w:t>
            </w:r>
            <w:r w:rsidR="00466B66">
              <w:rPr>
                <w:color w:val="000000" w:themeColor="text1"/>
                <w:lang w:val="fr-FR"/>
              </w:rPr>
              <w:t>a</w:t>
            </w:r>
            <w:r w:rsidR="000D1A70" w:rsidRPr="00632067">
              <w:rPr>
                <w:color w:val="000000" w:themeColor="text1"/>
                <w:lang w:val="fr-FR"/>
              </w:rPr>
              <w:t>rticle 1 de la Constitution,</w:t>
            </w:r>
            <w:r w:rsidR="005F5932" w:rsidRPr="00632067">
              <w:rPr>
                <w:color w:val="000000" w:themeColor="text1"/>
                <w:lang w:val="fr-FR"/>
              </w:rPr>
              <w:t xml:space="preserve"> </w:t>
            </w:r>
            <w:r w:rsidR="00861570" w:rsidRPr="00632067">
              <w:rPr>
                <w:color w:val="000000" w:themeColor="text1"/>
                <w:lang w:val="fr-FR"/>
              </w:rPr>
              <w:t xml:space="preserve">de </w:t>
            </w:r>
            <w:r w:rsidR="00A258A6" w:rsidRPr="00632067">
              <w:rPr>
                <w:color w:val="000000"/>
                <w:lang w:val="fr-FR"/>
              </w:rPr>
              <w:t xml:space="preserve">favoriser une coopération et </w:t>
            </w:r>
            <w:r w:rsidR="00E56193" w:rsidRPr="00632067">
              <w:rPr>
                <w:color w:val="000000"/>
                <w:lang w:val="fr-FR"/>
              </w:rPr>
              <w:t xml:space="preserve">des </w:t>
            </w:r>
            <w:r w:rsidR="00A258A6" w:rsidRPr="00632067">
              <w:rPr>
                <w:color w:val="000000"/>
                <w:lang w:val="fr-FR"/>
              </w:rPr>
              <w:t>partenariat</w:t>
            </w:r>
            <w:r w:rsidR="00E56193" w:rsidRPr="00632067">
              <w:rPr>
                <w:color w:val="000000"/>
                <w:lang w:val="fr-FR"/>
              </w:rPr>
              <w:t>s</w:t>
            </w:r>
            <w:r w:rsidR="00A258A6" w:rsidRPr="00632067">
              <w:rPr>
                <w:color w:val="000000"/>
                <w:lang w:val="fr-FR"/>
              </w:rPr>
              <w:t xml:space="preserve"> constructifs entre les États Membres et les Membres des Secteurs</w:t>
            </w:r>
            <w:r w:rsidR="00A258A6" w:rsidRPr="00632067">
              <w:rPr>
                <w:color w:val="000000" w:themeColor="text1"/>
                <w:lang w:val="fr-FR"/>
              </w:rPr>
              <w:t xml:space="preserve">, il est </w:t>
            </w:r>
            <w:r w:rsidR="00E56193" w:rsidRPr="00632067">
              <w:rPr>
                <w:color w:val="000000" w:themeColor="text1"/>
                <w:lang w:val="fr-FR"/>
              </w:rPr>
              <w:t xml:space="preserve">de la plus haute importance </w:t>
            </w:r>
            <w:r w:rsidR="00B27F8F" w:rsidRPr="00632067">
              <w:rPr>
                <w:color w:val="000000" w:themeColor="text1"/>
                <w:lang w:val="fr-FR"/>
              </w:rPr>
              <w:t>d</w:t>
            </w:r>
            <w:r w:rsidR="00B01838" w:rsidRPr="00632067">
              <w:rPr>
                <w:color w:val="000000" w:themeColor="text1"/>
                <w:lang w:val="fr-FR"/>
              </w:rPr>
              <w:t>'</w:t>
            </w:r>
            <w:r w:rsidR="00B27F8F" w:rsidRPr="00632067">
              <w:rPr>
                <w:color w:val="000000" w:themeColor="text1"/>
                <w:lang w:val="fr-FR"/>
              </w:rPr>
              <w:t>apprécier à sa juste valeur</w:t>
            </w:r>
            <w:r w:rsidR="00E56193" w:rsidRPr="00632067">
              <w:rPr>
                <w:color w:val="000000" w:themeColor="text1"/>
                <w:lang w:val="fr-FR"/>
              </w:rPr>
              <w:t xml:space="preserve"> le rôle </w:t>
            </w:r>
            <w:r w:rsidR="00E0340E" w:rsidRPr="00632067">
              <w:rPr>
                <w:color w:val="000000" w:themeColor="text1"/>
                <w:lang w:val="fr-FR"/>
              </w:rPr>
              <w:t>du secteur privé</w:t>
            </w:r>
            <w:r w:rsidR="00E56193" w:rsidRPr="00632067">
              <w:rPr>
                <w:color w:val="000000" w:themeColor="text1"/>
                <w:lang w:val="fr-FR"/>
              </w:rPr>
              <w:t xml:space="preserve"> dans les </w:t>
            </w:r>
            <w:r w:rsidR="00E0340E" w:rsidRPr="00632067">
              <w:rPr>
                <w:color w:val="000000" w:themeColor="text1"/>
                <w:lang w:val="fr-FR"/>
              </w:rPr>
              <w:t xml:space="preserve">travaux techniques de l'UIT-T. </w:t>
            </w:r>
            <w:r w:rsidR="0049383B" w:rsidRPr="00632067">
              <w:rPr>
                <w:color w:val="000000" w:themeColor="text1"/>
                <w:lang w:val="fr-FR"/>
              </w:rPr>
              <w:t>L</w:t>
            </w:r>
            <w:r w:rsidR="00B01838" w:rsidRPr="00632067">
              <w:rPr>
                <w:color w:val="000000" w:themeColor="text1"/>
                <w:lang w:val="fr-FR"/>
              </w:rPr>
              <w:t>'</w:t>
            </w:r>
            <w:r w:rsidR="00B27F8F" w:rsidRPr="00632067">
              <w:rPr>
                <w:color w:val="000000" w:themeColor="text1"/>
                <w:lang w:val="fr-FR"/>
              </w:rPr>
              <w:t>avant-</w:t>
            </w:r>
            <w:r w:rsidR="0049383B" w:rsidRPr="00632067">
              <w:rPr>
                <w:color w:val="000000" w:themeColor="text1"/>
                <w:lang w:val="fr-FR"/>
              </w:rPr>
              <w:t xml:space="preserve">projet de Résolution </w:t>
            </w:r>
            <w:r w:rsidR="00F26A93" w:rsidRPr="00632067">
              <w:rPr>
                <w:color w:val="000000" w:themeColor="text1"/>
                <w:lang w:val="fr-FR"/>
              </w:rPr>
              <w:t xml:space="preserve">vise à </w:t>
            </w:r>
            <w:r w:rsidR="00B27F8F" w:rsidRPr="00632067">
              <w:rPr>
                <w:color w:val="000000" w:themeColor="text1"/>
                <w:lang w:val="fr-FR"/>
              </w:rPr>
              <w:t xml:space="preserve">souligner </w:t>
            </w:r>
            <w:r w:rsidR="00F26A93" w:rsidRPr="00632067">
              <w:rPr>
                <w:color w:val="000000" w:themeColor="text1"/>
                <w:lang w:val="fr-FR"/>
              </w:rPr>
              <w:t xml:space="preserve">le fait que les travaux de l'UIT-T </w:t>
            </w:r>
            <w:r w:rsidR="00ED19EF" w:rsidRPr="00632067">
              <w:rPr>
                <w:color w:val="000000" w:themeColor="text1"/>
                <w:lang w:val="fr-FR"/>
              </w:rPr>
              <w:t>sont d</w:t>
            </w:r>
            <w:r w:rsidR="00B01838" w:rsidRPr="00632067">
              <w:rPr>
                <w:color w:val="000000" w:themeColor="text1"/>
                <w:lang w:val="fr-FR"/>
              </w:rPr>
              <w:t>'</w:t>
            </w:r>
            <w:r w:rsidR="00ED19EF" w:rsidRPr="00632067">
              <w:rPr>
                <w:color w:val="000000" w:themeColor="text1"/>
                <w:lang w:val="fr-FR"/>
              </w:rPr>
              <w:t xml:space="preserve">autant plus importants </w:t>
            </w:r>
            <w:r w:rsidR="00F26A93" w:rsidRPr="00632067">
              <w:rPr>
                <w:color w:val="000000" w:themeColor="text1"/>
                <w:lang w:val="fr-FR"/>
              </w:rPr>
              <w:t>lorsque le</w:t>
            </w:r>
            <w:r w:rsidR="005E76FA" w:rsidRPr="00632067">
              <w:rPr>
                <w:color w:val="000000" w:themeColor="text1"/>
                <w:lang w:val="fr-FR"/>
              </w:rPr>
              <w:t>s acteurs du</w:t>
            </w:r>
            <w:r w:rsidR="00F26A93" w:rsidRPr="00632067">
              <w:rPr>
                <w:color w:val="000000" w:themeColor="text1"/>
                <w:lang w:val="fr-FR"/>
              </w:rPr>
              <w:t xml:space="preserve"> secteur privé, en partenariat avec les gouvernements et les autres parties prenantes, </w:t>
            </w:r>
            <w:r w:rsidR="00ED5A14" w:rsidRPr="00632067">
              <w:rPr>
                <w:color w:val="000000" w:themeColor="text1"/>
                <w:lang w:val="fr-FR"/>
              </w:rPr>
              <w:t xml:space="preserve">y </w:t>
            </w:r>
            <w:r w:rsidR="005E76FA" w:rsidRPr="00632067">
              <w:rPr>
                <w:color w:val="000000" w:themeColor="text1"/>
                <w:lang w:val="fr-FR"/>
              </w:rPr>
              <w:t xml:space="preserve">sont </w:t>
            </w:r>
            <w:r w:rsidR="00ED5A14" w:rsidRPr="00632067">
              <w:rPr>
                <w:color w:val="000000" w:themeColor="text1"/>
                <w:lang w:val="fr-FR"/>
              </w:rPr>
              <w:t>pleinement</w:t>
            </w:r>
            <w:r w:rsidR="005E76FA" w:rsidRPr="00632067">
              <w:rPr>
                <w:color w:val="000000" w:themeColor="text1"/>
                <w:lang w:val="fr-FR"/>
              </w:rPr>
              <w:t xml:space="preserve"> associés</w:t>
            </w:r>
            <w:r w:rsidR="006A3447" w:rsidRPr="00632067">
              <w:rPr>
                <w:color w:val="000000" w:themeColor="text1"/>
                <w:lang w:val="fr-FR"/>
              </w:rPr>
              <w:t>.</w:t>
            </w:r>
          </w:p>
        </w:tc>
      </w:tr>
    </w:tbl>
    <w:p w14:paraId="3797C654" w14:textId="77777777" w:rsidR="005F5932" w:rsidRPr="00632067" w:rsidRDefault="005F5932" w:rsidP="00466B66">
      <w:pPr>
        <w:pStyle w:val="Headingb"/>
        <w:spacing w:before="360"/>
        <w:rPr>
          <w:lang w:val="fr-FR"/>
        </w:rPr>
      </w:pPr>
      <w:r w:rsidRPr="00632067">
        <w:rPr>
          <w:lang w:val="fr-FR"/>
        </w:rPr>
        <w:t>Introduction</w:t>
      </w:r>
    </w:p>
    <w:p w14:paraId="54A0688B" w14:textId="12E30743" w:rsidR="005F5932" w:rsidRPr="00632067" w:rsidRDefault="00ED19EF" w:rsidP="00B01838">
      <w:pPr>
        <w:rPr>
          <w:lang w:val="fr-FR"/>
        </w:rPr>
      </w:pPr>
      <w:r w:rsidRPr="00632067">
        <w:rPr>
          <w:lang w:val="fr-FR"/>
        </w:rPr>
        <w:t>L</w:t>
      </w:r>
      <w:r w:rsidR="00B01838" w:rsidRPr="00632067">
        <w:rPr>
          <w:lang w:val="fr-FR"/>
        </w:rPr>
        <w:t>'</w:t>
      </w:r>
      <w:r w:rsidRPr="00632067">
        <w:rPr>
          <w:lang w:val="fr-FR"/>
        </w:rPr>
        <w:t>avant-</w:t>
      </w:r>
      <w:r w:rsidR="006A3447" w:rsidRPr="00632067">
        <w:rPr>
          <w:lang w:val="fr-FR"/>
        </w:rPr>
        <w:t xml:space="preserve">projet de nouvelle Résolution est </w:t>
      </w:r>
      <w:r w:rsidRPr="00632067">
        <w:rPr>
          <w:lang w:val="fr-FR"/>
        </w:rPr>
        <w:t xml:space="preserve">soumis à </w:t>
      </w:r>
      <w:r w:rsidR="00D55207" w:rsidRPr="00632067">
        <w:rPr>
          <w:lang w:val="fr-FR"/>
        </w:rPr>
        <w:t>l'AMNT</w:t>
      </w:r>
      <w:r w:rsidR="002A75A5" w:rsidRPr="00632067">
        <w:rPr>
          <w:lang w:val="fr-FR"/>
        </w:rPr>
        <w:t xml:space="preserve"> </w:t>
      </w:r>
      <w:r w:rsidRPr="00632067">
        <w:rPr>
          <w:lang w:val="fr-FR"/>
        </w:rPr>
        <w:t xml:space="preserve">dans le prolongement des </w:t>
      </w:r>
      <w:r w:rsidR="002A75A5" w:rsidRPr="00632067">
        <w:rPr>
          <w:lang w:val="fr-FR"/>
        </w:rPr>
        <w:t xml:space="preserve">discussions du </w:t>
      </w:r>
      <w:r w:rsidR="004B7D8C" w:rsidRPr="00632067">
        <w:rPr>
          <w:color w:val="000000"/>
          <w:lang w:val="fr-FR"/>
        </w:rPr>
        <w:t>Groupe consultatif de la normalisation des télécommunications (GCNT)</w:t>
      </w:r>
      <w:r w:rsidR="000419E9" w:rsidRPr="00632067">
        <w:rPr>
          <w:color w:val="000000"/>
          <w:lang w:val="fr-FR"/>
        </w:rPr>
        <w:t xml:space="preserve"> sur la nécessité</w:t>
      </w:r>
      <w:r w:rsidR="001F26C6" w:rsidRPr="00632067">
        <w:rPr>
          <w:color w:val="000000"/>
          <w:lang w:val="fr-FR"/>
        </w:rPr>
        <w:t xml:space="preserve"> </w:t>
      </w:r>
      <w:r w:rsidR="0018505E" w:rsidRPr="00632067">
        <w:rPr>
          <w:color w:val="000000"/>
          <w:lang w:val="fr-FR"/>
        </w:rPr>
        <w:t>d'assurer la participation du secteur privé aux activités</w:t>
      </w:r>
      <w:r w:rsidR="0005080D" w:rsidRPr="00632067">
        <w:rPr>
          <w:color w:val="000000"/>
          <w:lang w:val="fr-FR"/>
        </w:rPr>
        <w:t xml:space="preserve"> </w:t>
      </w:r>
      <w:r w:rsidR="0018505E" w:rsidRPr="00632067">
        <w:rPr>
          <w:color w:val="000000"/>
          <w:lang w:val="fr-FR"/>
        </w:rPr>
        <w:t>de l'UIT-T</w:t>
      </w:r>
      <w:r w:rsidR="00DA0E2D" w:rsidRPr="00632067">
        <w:rPr>
          <w:color w:val="000000"/>
          <w:lang w:val="fr-FR"/>
        </w:rPr>
        <w:t xml:space="preserve"> et d'attirer davantage d'acteurs du secteur</w:t>
      </w:r>
      <w:r w:rsidR="0005080D" w:rsidRPr="00632067">
        <w:rPr>
          <w:color w:val="000000"/>
          <w:lang w:val="fr-FR"/>
        </w:rPr>
        <w:t>,</w:t>
      </w:r>
      <w:r w:rsidR="00DA0E2D" w:rsidRPr="00632067">
        <w:rPr>
          <w:color w:val="000000"/>
          <w:lang w:val="fr-FR"/>
        </w:rPr>
        <w:t xml:space="preserve"> tant au niveau mondial qu'au niveau régional</w:t>
      </w:r>
      <w:r w:rsidR="0005080D" w:rsidRPr="00632067">
        <w:rPr>
          <w:color w:val="000000"/>
          <w:lang w:val="fr-FR"/>
        </w:rPr>
        <w:t>.</w:t>
      </w:r>
      <w:r w:rsidR="00D55207" w:rsidRPr="00632067">
        <w:rPr>
          <w:lang w:val="fr-FR"/>
        </w:rPr>
        <w:t xml:space="preserve"> </w:t>
      </w:r>
      <w:r w:rsidR="007464DC" w:rsidRPr="00632067">
        <w:rPr>
          <w:lang w:val="fr-FR"/>
        </w:rPr>
        <w:t>C</w:t>
      </w:r>
      <w:r w:rsidR="00B01838" w:rsidRPr="00632067">
        <w:rPr>
          <w:lang w:val="fr-FR"/>
        </w:rPr>
        <w:t>'</w:t>
      </w:r>
      <w:r w:rsidR="007464DC" w:rsidRPr="00632067">
        <w:rPr>
          <w:lang w:val="fr-FR"/>
        </w:rPr>
        <w:t>est l</w:t>
      </w:r>
      <w:r w:rsidR="00B97B79" w:rsidRPr="00632067">
        <w:rPr>
          <w:lang w:val="fr-FR"/>
        </w:rPr>
        <w:t xml:space="preserve">'évolution technologique, portée </w:t>
      </w:r>
      <w:r w:rsidR="00FF7BC0" w:rsidRPr="00632067">
        <w:rPr>
          <w:lang w:val="fr-FR"/>
        </w:rPr>
        <w:t xml:space="preserve">également </w:t>
      </w:r>
      <w:r w:rsidR="00B97B79" w:rsidRPr="00632067">
        <w:rPr>
          <w:lang w:val="fr-FR"/>
        </w:rPr>
        <w:t>par</w:t>
      </w:r>
      <w:r w:rsidR="007464DC" w:rsidRPr="00632067">
        <w:rPr>
          <w:lang w:val="fr-FR"/>
        </w:rPr>
        <w:t xml:space="preserve"> les</w:t>
      </w:r>
      <w:r w:rsidR="002D7C40" w:rsidRPr="00632067">
        <w:rPr>
          <w:lang w:val="fr-FR"/>
        </w:rPr>
        <w:t xml:space="preserve"> entreprises</w:t>
      </w:r>
      <w:r w:rsidR="00454614" w:rsidRPr="00632067">
        <w:rPr>
          <w:lang w:val="fr-FR"/>
        </w:rPr>
        <w:t xml:space="preserve"> et des investissements </w:t>
      </w:r>
      <w:r w:rsidR="00FF56D4" w:rsidRPr="00632067">
        <w:rPr>
          <w:lang w:val="fr-FR"/>
        </w:rPr>
        <w:t>substantiels</w:t>
      </w:r>
      <w:r w:rsidR="00454614" w:rsidRPr="00632067">
        <w:rPr>
          <w:lang w:val="fr-FR"/>
        </w:rPr>
        <w:t xml:space="preserve"> du secteur</w:t>
      </w:r>
      <w:r w:rsidR="009B4544" w:rsidRPr="00632067">
        <w:rPr>
          <w:lang w:val="fr-FR"/>
        </w:rPr>
        <w:t xml:space="preserve"> privé</w:t>
      </w:r>
      <w:r w:rsidR="00454614" w:rsidRPr="00632067">
        <w:rPr>
          <w:lang w:val="fr-FR"/>
        </w:rPr>
        <w:t xml:space="preserve">, </w:t>
      </w:r>
      <w:r w:rsidR="007464DC" w:rsidRPr="00632067">
        <w:rPr>
          <w:lang w:val="fr-FR"/>
        </w:rPr>
        <w:t xml:space="preserve">qui doit </w:t>
      </w:r>
      <w:r w:rsidR="00831320" w:rsidRPr="00632067">
        <w:rPr>
          <w:lang w:val="fr-FR"/>
        </w:rPr>
        <w:t>stimuler et alimenter</w:t>
      </w:r>
      <w:r w:rsidR="007464DC" w:rsidRPr="00632067">
        <w:rPr>
          <w:lang w:val="fr-FR"/>
        </w:rPr>
        <w:t xml:space="preserve"> une grande partie</w:t>
      </w:r>
      <w:r w:rsidR="005A4FC2" w:rsidRPr="00632067">
        <w:rPr>
          <w:lang w:val="fr-FR"/>
        </w:rPr>
        <w:t xml:space="preserve"> des travaux </w:t>
      </w:r>
      <w:r w:rsidR="007464DC" w:rsidRPr="00632067">
        <w:rPr>
          <w:lang w:val="fr-FR"/>
        </w:rPr>
        <w:t xml:space="preserve">des </w:t>
      </w:r>
      <w:r w:rsidR="00B01838" w:rsidRPr="00632067">
        <w:rPr>
          <w:lang w:val="fr-FR"/>
        </w:rPr>
        <w:t>C</w:t>
      </w:r>
      <w:r w:rsidR="007464DC" w:rsidRPr="00632067">
        <w:rPr>
          <w:lang w:val="fr-FR"/>
        </w:rPr>
        <w:t xml:space="preserve">ommissions </w:t>
      </w:r>
      <w:r w:rsidR="005A4FC2" w:rsidRPr="00632067">
        <w:rPr>
          <w:lang w:val="fr-FR"/>
        </w:rPr>
        <w:t>d'études de l'UIT-T.</w:t>
      </w:r>
      <w:r w:rsidR="00FF3C84" w:rsidRPr="00632067">
        <w:rPr>
          <w:lang w:val="fr-FR"/>
        </w:rPr>
        <w:t xml:space="preserve"> Bien qu</w:t>
      </w:r>
      <w:r w:rsidR="008A1045" w:rsidRPr="00632067">
        <w:rPr>
          <w:lang w:val="fr-FR"/>
        </w:rPr>
        <w:t xml:space="preserve">e l'UIT soit considérée </w:t>
      </w:r>
      <w:r w:rsidR="00F061F7" w:rsidRPr="00632067">
        <w:rPr>
          <w:lang w:val="fr-FR"/>
        </w:rPr>
        <w:t>avant tout</w:t>
      </w:r>
      <w:r w:rsidR="008A1045" w:rsidRPr="00632067">
        <w:rPr>
          <w:lang w:val="fr-FR"/>
        </w:rPr>
        <w:t xml:space="preserve"> comme une organisation intergouvernementale, des analyses </w:t>
      </w:r>
      <w:r w:rsidR="00CB4F8E" w:rsidRPr="00632067">
        <w:rPr>
          <w:lang w:val="fr-FR"/>
        </w:rPr>
        <w:t>menées récemment ont montré</w:t>
      </w:r>
      <w:r w:rsidR="007464DC" w:rsidRPr="00632067">
        <w:rPr>
          <w:lang w:val="fr-FR"/>
        </w:rPr>
        <w:t xml:space="preserve"> qu</w:t>
      </w:r>
      <w:r w:rsidR="00B01838" w:rsidRPr="00632067">
        <w:rPr>
          <w:lang w:val="fr-FR"/>
        </w:rPr>
        <w:t>'</w:t>
      </w:r>
      <w:r w:rsidR="007464DC" w:rsidRPr="00632067">
        <w:rPr>
          <w:lang w:val="fr-FR"/>
        </w:rPr>
        <w:t xml:space="preserve">il était </w:t>
      </w:r>
      <w:r w:rsidR="00CB4F8E" w:rsidRPr="00632067">
        <w:rPr>
          <w:lang w:val="fr-FR"/>
        </w:rPr>
        <w:t>nécess</w:t>
      </w:r>
      <w:r w:rsidR="007464DC" w:rsidRPr="00632067">
        <w:rPr>
          <w:lang w:val="fr-FR"/>
        </w:rPr>
        <w:t xml:space="preserve">aire que </w:t>
      </w:r>
      <w:r w:rsidR="00CB4F8E" w:rsidRPr="00632067">
        <w:rPr>
          <w:lang w:val="fr-FR"/>
        </w:rPr>
        <w:t xml:space="preserve">l'Union </w:t>
      </w:r>
      <w:r w:rsidR="007464DC" w:rsidRPr="00632067">
        <w:rPr>
          <w:lang w:val="fr-FR"/>
        </w:rPr>
        <w:t xml:space="preserve">renforce </w:t>
      </w:r>
      <w:r w:rsidR="00CB4F8E" w:rsidRPr="00632067">
        <w:rPr>
          <w:lang w:val="fr-FR"/>
        </w:rPr>
        <w:t xml:space="preserve">et </w:t>
      </w:r>
      <w:r w:rsidR="007464DC" w:rsidRPr="00632067">
        <w:rPr>
          <w:lang w:val="fr-FR"/>
        </w:rPr>
        <w:t xml:space="preserve">encourage </w:t>
      </w:r>
      <w:r w:rsidR="00CB4F8E" w:rsidRPr="00632067">
        <w:rPr>
          <w:lang w:val="fr-FR"/>
        </w:rPr>
        <w:t>la par</w:t>
      </w:r>
      <w:r w:rsidR="00AD0C25" w:rsidRPr="00632067">
        <w:rPr>
          <w:lang w:val="fr-FR"/>
        </w:rPr>
        <w:t xml:space="preserve">ticipation </w:t>
      </w:r>
      <w:r w:rsidR="00D74903" w:rsidRPr="00632067">
        <w:rPr>
          <w:lang w:val="fr-FR"/>
        </w:rPr>
        <w:t xml:space="preserve">active du secteur privé </w:t>
      </w:r>
      <w:r w:rsidR="001E18A0" w:rsidRPr="00632067">
        <w:rPr>
          <w:lang w:val="fr-FR"/>
        </w:rPr>
        <w:t>à ses</w:t>
      </w:r>
      <w:r w:rsidR="00D74903" w:rsidRPr="00632067">
        <w:rPr>
          <w:lang w:val="fr-FR"/>
        </w:rPr>
        <w:t xml:space="preserve"> travaux de normalisation à l'échelle mondiale</w:t>
      </w:r>
      <w:r w:rsidR="00762763" w:rsidRPr="00632067">
        <w:rPr>
          <w:lang w:val="fr-FR"/>
        </w:rPr>
        <w:t xml:space="preserve">, d'une manière générale, de </w:t>
      </w:r>
      <w:r w:rsidR="007464DC" w:rsidRPr="00632067">
        <w:rPr>
          <w:lang w:val="fr-FR"/>
        </w:rPr>
        <w:t xml:space="preserve">façon à </w:t>
      </w:r>
      <w:r w:rsidR="00762763" w:rsidRPr="00632067">
        <w:rPr>
          <w:lang w:val="fr-FR"/>
        </w:rPr>
        <w:t>garantir</w:t>
      </w:r>
      <w:r w:rsidR="00C46BBB" w:rsidRPr="00632067">
        <w:rPr>
          <w:lang w:val="fr-FR"/>
        </w:rPr>
        <w:t xml:space="preserve"> que les </w:t>
      </w:r>
      <w:r w:rsidR="008F0A7D" w:rsidRPr="00632067">
        <w:rPr>
          <w:lang w:val="fr-FR"/>
        </w:rPr>
        <w:t>produits</w:t>
      </w:r>
      <w:r w:rsidR="00C46BBB" w:rsidRPr="00632067">
        <w:rPr>
          <w:lang w:val="fr-FR"/>
        </w:rPr>
        <w:t xml:space="preserve"> de l'UIT-T</w:t>
      </w:r>
      <w:r w:rsidR="006F3B37" w:rsidRPr="00632067">
        <w:rPr>
          <w:lang w:val="fr-FR"/>
        </w:rPr>
        <w:t xml:space="preserve"> </w:t>
      </w:r>
      <w:r w:rsidR="007464DC" w:rsidRPr="00632067">
        <w:rPr>
          <w:lang w:val="fr-FR"/>
        </w:rPr>
        <w:t>tiennent compte des</w:t>
      </w:r>
      <w:r w:rsidR="006F3B37" w:rsidRPr="00632067">
        <w:rPr>
          <w:lang w:val="fr-FR"/>
        </w:rPr>
        <w:t xml:space="preserve"> activités </w:t>
      </w:r>
      <w:r w:rsidR="007464DC" w:rsidRPr="00632067">
        <w:rPr>
          <w:lang w:val="fr-FR"/>
        </w:rPr>
        <w:t>du secteur</w:t>
      </w:r>
      <w:r w:rsidR="006F3B37" w:rsidRPr="00632067">
        <w:rPr>
          <w:lang w:val="fr-FR"/>
        </w:rPr>
        <w:t xml:space="preserve"> et </w:t>
      </w:r>
      <w:r w:rsidR="007464DC" w:rsidRPr="00632067">
        <w:rPr>
          <w:lang w:val="fr-FR"/>
        </w:rPr>
        <w:t xml:space="preserve">puissent </w:t>
      </w:r>
      <w:r w:rsidR="006F3B37" w:rsidRPr="00632067">
        <w:rPr>
          <w:lang w:val="fr-FR"/>
        </w:rPr>
        <w:t xml:space="preserve">être </w:t>
      </w:r>
      <w:r w:rsidR="007464DC" w:rsidRPr="00632067">
        <w:rPr>
          <w:lang w:val="fr-FR"/>
        </w:rPr>
        <w:t xml:space="preserve">utilisés </w:t>
      </w:r>
      <w:r w:rsidR="006F3B37" w:rsidRPr="00632067">
        <w:rPr>
          <w:lang w:val="fr-FR"/>
        </w:rPr>
        <w:t>dans la</w:t>
      </w:r>
      <w:r w:rsidR="00C46BBB" w:rsidRPr="00632067">
        <w:rPr>
          <w:lang w:val="fr-FR"/>
        </w:rPr>
        <w:t xml:space="preserve"> </w:t>
      </w:r>
      <w:r w:rsidR="00DE4632" w:rsidRPr="00632067">
        <w:rPr>
          <w:lang w:val="fr-FR"/>
        </w:rPr>
        <w:t>pratique.</w:t>
      </w:r>
    </w:p>
    <w:p w14:paraId="28D78925" w14:textId="4DA4395C" w:rsidR="005F5932" w:rsidRPr="00632067" w:rsidRDefault="005F5932" w:rsidP="00B01838">
      <w:pPr>
        <w:pStyle w:val="Headingb"/>
        <w:rPr>
          <w:lang w:val="fr-FR"/>
        </w:rPr>
      </w:pPr>
      <w:r w:rsidRPr="00632067">
        <w:rPr>
          <w:lang w:val="fr-FR"/>
        </w:rPr>
        <w:t>Propos</w:t>
      </w:r>
      <w:r w:rsidR="00DE4632" w:rsidRPr="00632067">
        <w:rPr>
          <w:lang w:val="fr-FR"/>
        </w:rPr>
        <w:t>ition</w:t>
      </w:r>
    </w:p>
    <w:p w14:paraId="01DCFCD7" w14:textId="7498F6DD" w:rsidR="00081194" w:rsidRPr="00632067" w:rsidRDefault="001E18A0" w:rsidP="00B01838">
      <w:pPr>
        <w:rPr>
          <w:lang w:val="fr-FR"/>
        </w:rPr>
      </w:pPr>
      <w:r w:rsidRPr="00632067">
        <w:rPr>
          <w:lang w:val="fr-FR"/>
        </w:rPr>
        <w:t>Le</w:t>
      </w:r>
      <w:r w:rsidR="00DE4632" w:rsidRPr="00632067">
        <w:rPr>
          <w:lang w:val="fr-FR"/>
        </w:rPr>
        <w:t xml:space="preserve"> projet de Résolution ci-dessous </w:t>
      </w:r>
      <w:r w:rsidRPr="00632067">
        <w:rPr>
          <w:lang w:val="fr-FR"/>
        </w:rPr>
        <w:t xml:space="preserve">est soumis </w:t>
      </w:r>
      <w:r w:rsidR="00DE4632" w:rsidRPr="00632067">
        <w:rPr>
          <w:lang w:val="fr-FR"/>
        </w:rPr>
        <w:t>à l'AMNT-20.</w:t>
      </w:r>
    </w:p>
    <w:p w14:paraId="15DC861F" w14:textId="77777777" w:rsidR="00F776DF" w:rsidRPr="00632067" w:rsidRDefault="00F776DF" w:rsidP="00B01838">
      <w:pPr>
        <w:rPr>
          <w:lang w:val="fr-FR"/>
        </w:rPr>
      </w:pPr>
      <w:r w:rsidRPr="00632067">
        <w:rPr>
          <w:lang w:val="fr-FR"/>
        </w:rPr>
        <w:br w:type="page"/>
      </w:r>
    </w:p>
    <w:p w14:paraId="76BEC7A7" w14:textId="77777777" w:rsidR="00D157C9" w:rsidRPr="00632067" w:rsidRDefault="000031B3" w:rsidP="00B01838">
      <w:pPr>
        <w:pStyle w:val="Proposal"/>
        <w:rPr>
          <w:lang w:val="fr-FR"/>
        </w:rPr>
      </w:pPr>
      <w:r w:rsidRPr="00632067">
        <w:rPr>
          <w:lang w:val="fr-FR"/>
        </w:rPr>
        <w:lastRenderedPageBreak/>
        <w:t>ADD</w:t>
      </w:r>
      <w:r w:rsidRPr="00632067">
        <w:rPr>
          <w:lang w:val="fr-FR"/>
        </w:rPr>
        <w:tab/>
        <w:t>EUR/38A25/1</w:t>
      </w:r>
    </w:p>
    <w:p w14:paraId="38137F78" w14:textId="77777777" w:rsidR="005F5932" w:rsidRPr="00632067" w:rsidRDefault="000031B3" w:rsidP="00B01838">
      <w:pPr>
        <w:pStyle w:val="ResNo"/>
        <w:rPr>
          <w:lang w:val="fr-FR"/>
        </w:rPr>
      </w:pPr>
      <w:r w:rsidRPr="00632067">
        <w:rPr>
          <w:lang w:val="fr-FR"/>
        </w:rPr>
        <w:t>PROJET DE NOUVELLE RÉSOLUTION</w:t>
      </w:r>
      <w:r w:rsidR="005F5932" w:rsidRPr="00632067">
        <w:rPr>
          <w:lang w:val="fr-FR"/>
        </w:rPr>
        <w:t xml:space="preserve"> [ECP-1]</w:t>
      </w:r>
    </w:p>
    <w:p w14:paraId="5F0DFF8D" w14:textId="1A025845" w:rsidR="005F5932" w:rsidRPr="00632067" w:rsidRDefault="00A86BEC" w:rsidP="00B01838">
      <w:pPr>
        <w:pStyle w:val="Restitle"/>
        <w:rPr>
          <w:lang w:val="fr-FR"/>
        </w:rPr>
      </w:pPr>
      <w:r w:rsidRPr="00632067">
        <w:rPr>
          <w:lang w:val="fr-FR"/>
        </w:rPr>
        <w:t>Proposition de nouvelle R</w:t>
      </w:r>
      <w:r w:rsidRPr="00632067">
        <w:rPr>
          <w:lang w:val="fr-FR"/>
        </w:rPr>
        <w:t>é</w:t>
      </w:r>
      <w:r w:rsidRPr="00632067">
        <w:rPr>
          <w:lang w:val="fr-FR"/>
        </w:rPr>
        <w:t>solution de l'AMNT sur l'importance de la participation du secteur priv</w:t>
      </w:r>
      <w:r w:rsidRPr="00632067">
        <w:rPr>
          <w:lang w:val="fr-FR"/>
        </w:rPr>
        <w:t>é</w:t>
      </w:r>
      <w:r w:rsidRPr="00632067">
        <w:rPr>
          <w:lang w:val="fr-FR"/>
        </w:rPr>
        <w:t xml:space="preserve"> aux travaux </w:t>
      </w:r>
      <w:r w:rsidR="007B27AC" w:rsidRPr="00632067">
        <w:rPr>
          <w:lang w:val="fr-FR"/>
        </w:rPr>
        <w:t>du Secteur de</w:t>
      </w:r>
      <w:r w:rsidR="00B01838" w:rsidRPr="00632067">
        <w:rPr>
          <w:lang w:val="fr-FR"/>
        </w:rPr>
        <w:t xml:space="preserve"> </w:t>
      </w:r>
      <w:r w:rsidR="007B27AC" w:rsidRPr="00632067">
        <w:rPr>
          <w:lang w:val="fr-FR"/>
        </w:rPr>
        <w:t>la</w:t>
      </w:r>
      <w:r w:rsidR="00B01838" w:rsidRPr="00632067">
        <w:rPr>
          <w:lang w:val="fr-FR"/>
        </w:rPr>
        <w:br/>
      </w:r>
      <w:r w:rsidR="007B27AC" w:rsidRPr="00632067">
        <w:rPr>
          <w:lang w:val="fr-FR"/>
        </w:rPr>
        <w:t>normalisation des t</w:t>
      </w:r>
      <w:r w:rsidR="007B27AC" w:rsidRPr="00632067">
        <w:rPr>
          <w:lang w:val="fr-FR"/>
        </w:rPr>
        <w:t>é</w:t>
      </w:r>
      <w:r w:rsidR="007B27AC" w:rsidRPr="00632067">
        <w:rPr>
          <w:lang w:val="fr-FR"/>
        </w:rPr>
        <w:t>l</w:t>
      </w:r>
      <w:r w:rsidR="007B27AC" w:rsidRPr="00632067">
        <w:rPr>
          <w:lang w:val="fr-FR"/>
        </w:rPr>
        <w:t>é</w:t>
      </w:r>
      <w:r w:rsidR="007B27AC" w:rsidRPr="00632067">
        <w:rPr>
          <w:lang w:val="fr-FR"/>
        </w:rPr>
        <w:t>communications de l</w:t>
      </w:r>
      <w:r w:rsidR="00B01838" w:rsidRPr="00632067">
        <w:rPr>
          <w:lang w:val="fr-FR"/>
        </w:rPr>
        <w:t>'</w:t>
      </w:r>
      <w:r w:rsidR="007B27AC" w:rsidRPr="00632067">
        <w:rPr>
          <w:lang w:val="fr-FR"/>
        </w:rPr>
        <w:t>UIT</w:t>
      </w:r>
    </w:p>
    <w:p w14:paraId="37119FB6" w14:textId="76F16DA3" w:rsidR="005F5932" w:rsidRPr="00632067" w:rsidRDefault="005F5932" w:rsidP="00B01838">
      <w:pPr>
        <w:pStyle w:val="Resref"/>
      </w:pPr>
      <w:r w:rsidRPr="00632067">
        <w:t>(</w:t>
      </w:r>
      <w:r w:rsidR="00F81CF8">
        <w:t>Genève</w:t>
      </w:r>
      <w:r w:rsidRPr="00632067">
        <w:t>, 2022)</w:t>
      </w:r>
    </w:p>
    <w:p w14:paraId="3A28DAA4" w14:textId="62657832" w:rsidR="005F5932" w:rsidRPr="00632067" w:rsidRDefault="00A86BEC" w:rsidP="00466B66">
      <w:pPr>
        <w:spacing w:before="240"/>
        <w:rPr>
          <w:lang w:val="fr-FR"/>
        </w:rPr>
      </w:pPr>
      <w:r w:rsidRPr="00632067">
        <w:rPr>
          <w:lang w:val="fr-FR"/>
        </w:rPr>
        <w:t>L'Assemblée mondiale de normalisation des télécommunications</w:t>
      </w:r>
      <w:r w:rsidR="005F5932" w:rsidRPr="00632067">
        <w:rPr>
          <w:lang w:val="fr-FR"/>
        </w:rPr>
        <w:t xml:space="preserve"> (</w:t>
      </w:r>
      <w:r w:rsidR="00F81CF8">
        <w:t>Genève</w:t>
      </w:r>
      <w:r w:rsidR="005F5932" w:rsidRPr="00632067">
        <w:rPr>
          <w:lang w:val="fr-FR"/>
        </w:rPr>
        <w:t>, 2022),</w:t>
      </w:r>
    </w:p>
    <w:p w14:paraId="4C589108" w14:textId="1A1DDEF2" w:rsidR="005F5932" w:rsidRPr="00632067" w:rsidRDefault="005F5932" w:rsidP="00B01838">
      <w:pPr>
        <w:pStyle w:val="Call"/>
        <w:rPr>
          <w:lang w:val="fr-FR"/>
        </w:rPr>
      </w:pPr>
      <w:r w:rsidRPr="00632067">
        <w:rPr>
          <w:lang w:val="fr-FR"/>
        </w:rPr>
        <w:t>consid</w:t>
      </w:r>
      <w:r w:rsidR="00A86BEC" w:rsidRPr="00632067">
        <w:rPr>
          <w:lang w:val="fr-FR"/>
        </w:rPr>
        <w:t>érant</w:t>
      </w:r>
    </w:p>
    <w:p w14:paraId="7CC0B65F" w14:textId="2BDFB9DF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a)</w:t>
      </w:r>
      <w:r w:rsidRPr="00632067">
        <w:rPr>
          <w:lang w:val="fr-FR"/>
        </w:rPr>
        <w:tab/>
      </w:r>
      <w:r w:rsidR="007B27AC" w:rsidRPr="00632067">
        <w:rPr>
          <w:lang w:val="fr-FR"/>
        </w:rPr>
        <w:t xml:space="preserve">l'article </w:t>
      </w:r>
      <w:r w:rsidRPr="00632067">
        <w:rPr>
          <w:lang w:val="fr-FR"/>
        </w:rPr>
        <w:t xml:space="preserve">1 </w:t>
      </w:r>
      <w:r w:rsidR="002326BE" w:rsidRPr="00632067">
        <w:rPr>
          <w:lang w:val="fr-FR"/>
        </w:rPr>
        <w:t>de la Constitution de l'UIT</w:t>
      </w:r>
      <w:r w:rsidR="007B27AC" w:rsidRPr="00632067">
        <w:rPr>
          <w:lang w:val="fr-FR"/>
        </w:rPr>
        <w:t xml:space="preserve"> dispose que l</w:t>
      </w:r>
      <w:r w:rsidR="00B01838" w:rsidRPr="00632067">
        <w:rPr>
          <w:lang w:val="fr-FR"/>
        </w:rPr>
        <w:t>'</w:t>
      </w:r>
      <w:r w:rsidR="007B27AC" w:rsidRPr="00632067">
        <w:rPr>
          <w:lang w:val="fr-FR"/>
        </w:rPr>
        <w:t xml:space="preserve">Union doit </w:t>
      </w:r>
      <w:r w:rsidRPr="00632067">
        <w:rPr>
          <w:lang w:val="fr-FR"/>
        </w:rPr>
        <w:t>encourager et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 xml:space="preserve">élargir la participation d'entités et d'organisations </w:t>
      </w:r>
      <w:r w:rsidR="007B27AC" w:rsidRPr="00632067">
        <w:rPr>
          <w:lang w:val="fr-FR"/>
        </w:rPr>
        <w:t>à ses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>activités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>et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 xml:space="preserve">assurer une coopération et un partenariat fructueux entre elles et les </w:t>
      </w:r>
      <w:r w:rsidR="00283613" w:rsidRPr="00632067">
        <w:rPr>
          <w:lang w:val="fr-FR"/>
        </w:rPr>
        <w:t>É</w:t>
      </w:r>
      <w:r w:rsidRPr="00632067">
        <w:rPr>
          <w:lang w:val="fr-FR"/>
        </w:rPr>
        <w:t>tats Membres en vue de répondre aux objectifs généraux énoncés dans l'objet de l'Union;</w:t>
      </w:r>
    </w:p>
    <w:p w14:paraId="08214BE2" w14:textId="45F6E443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b)</w:t>
      </w:r>
      <w:r w:rsidRPr="00632067">
        <w:rPr>
          <w:lang w:val="fr-FR"/>
        </w:rPr>
        <w:tab/>
      </w:r>
      <w:r w:rsidR="007B27AC" w:rsidRPr="00632067">
        <w:rPr>
          <w:lang w:val="fr-FR"/>
        </w:rPr>
        <w:t xml:space="preserve">l'article </w:t>
      </w:r>
      <w:r w:rsidRPr="00632067">
        <w:rPr>
          <w:lang w:val="fr-FR"/>
        </w:rPr>
        <w:t xml:space="preserve">3 </w:t>
      </w:r>
      <w:r w:rsidR="00283613" w:rsidRPr="00632067">
        <w:rPr>
          <w:lang w:val="fr-FR"/>
        </w:rPr>
        <w:t>de la</w:t>
      </w:r>
      <w:r w:rsidRPr="00632067">
        <w:rPr>
          <w:lang w:val="fr-FR"/>
        </w:rPr>
        <w:t xml:space="preserve"> Constitution </w:t>
      </w:r>
      <w:r w:rsidR="002407C2" w:rsidRPr="00632067">
        <w:rPr>
          <w:lang w:val="fr-FR"/>
        </w:rPr>
        <w:t>relatif aux</w:t>
      </w:r>
      <w:r w:rsidR="00D90EBA" w:rsidRPr="00632067">
        <w:rPr>
          <w:lang w:val="fr-FR"/>
        </w:rPr>
        <w:t xml:space="preserve"> droits et </w:t>
      </w:r>
      <w:r w:rsidR="002407C2" w:rsidRPr="00632067">
        <w:rPr>
          <w:lang w:val="fr-FR"/>
        </w:rPr>
        <w:t>aux</w:t>
      </w:r>
      <w:r w:rsidR="00D90EBA" w:rsidRPr="00632067">
        <w:rPr>
          <w:lang w:val="fr-FR"/>
        </w:rPr>
        <w:t xml:space="preserve"> obligations des États Membres et des Membres des Secteurs</w:t>
      </w:r>
      <w:r w:rsidR="00587E75" w:rsidRPr="00632067">
        <w:rPr>
          <w:lang w:val="fr-FR"/>
        </w:rPr>
        <w:t xml:space="preserve">, </w:t>
      </w:r>
      <w:r w:rsidR="007B27AC" w:rsidRPr="00632067">
        <w:rPr>
          <w:lang w:val="fr-FR"/>
        </w:rPr>
        <w:t>qui dispose, au</w:t>
      </w:r>
      <w:r w:rsidR="00587E75" w:rsidRPr="00632067">
        <w:rPr>
          <w:lang w:val="fr-FR"/>
        </w:rPr>
        <w:t xml:space="preserve"> numéro 28.A</w:t>
      </w:r>
      <w:r w:rsidR="007B27AC" w:rsidRPr="00632067">
        <w:rPr>
          <w:lang w:val="fr-FR"/>
        </w:rPr>
        <w:t>,</w:t>
      </w:r>
      <w:r w:rsidR="00B01838" w:rsidRPr="00632067">
        <w:rPr>
          <w:lang w:val="fr-FR"/>
        </w:rPr>
        <w:t xml:space="preserve"> </w:t>
      </w:r>
      <w:r w:rsidR="007669EF" w:rsidRPr="00632067">
        <w:rPr>
          <w:lang w:val="fr-FR"/>
        </w:rPr>
        <w:t>que "</w:t>
      </w:r>
      <w:r w:rsidRPr="00632067">
        <w:rPr>
          <w:lang w:val="fr-FR"/>
        </w:rPr>
        <w:t>les Membres des Secteurs sont autorisés à participer pleinement aux activités du Secteur dont ils sont membres</w:t>
      </w:r>
      <w:r w:rsidR="007669EF" w:rsidRPr="00632067">
        <w:rPr>
          <w:lang w:val="fr-FR"/>
        </w:rPr>
        <w:t>"</w:t>
      </w:r>
      <w:r w:rsidRPr="00632067">
        <w:rPr>
          <w:lang w:val="fr-FR"/>
        </w:rPr>
        <w:t>;</w:t>
      </w:r>
    </w:p>
    <w:p w14:paraId="0068C9D7" w14:textId="4F5B4E16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c)</w:t>
      </w:r>
      <w:r w:rsidRPr="00632067">
        <w:rPr>
          <w:lang w:val="fr-FR"/>
        </w:rPr>
        <w:tab/>
      </w:r>
      <w:r w:rsidR="007B27AC" w:rsidRPr="00632067">
        <w:rPr>
          <w:lang w:val="fr-FR"/>
        </w:rPr>
        <w:t xml:space="preserve">l'article </w:t>
      </w:r>
      <w:r w:rsidRPr="00632067">
        <w:rPr>
          <w:lang w:val="fr-FR"/>
        </w:rPr>
        <w:t xml:space="preserve">19 </w:t>
      </w:r>
      <w:r w:rsidR="007669EF" w:rsidRPr="00632067">
        <w:rPr>
          <w:lang w:val="fr-FR"/>
        </w:rPr>
        <w:t>de la Convention de l'UIT</w:t>
      </w:r>
      <w:r w:rsidR="00B01838" w:rsidRPr="00632067">
        <w:rPr>
          <w:lang w:val="fr-FR"/>
        </w:rPr>
        <w:t>,</w:t>
      </w:r>
      <w:r w:rsidR="007B27AC" w:rsidRPr="00632067">
        <w:rPr>
          <w:lang w:val="fr-FR"/>
        </w:rPr>
        <w:t xml:space="preserve"> </w:t>
      </w:r>
      <w:r w:rsidR="007669EF" w:rsidRPr="00632067">
        <w:rPr>
          <w:lang w:val="fr-FR"/>
        </w:rPr>
        <w:t>en ce qui concerne la</w:t>
      </w:r>
      <w:r w:rsidRPr="00632067">
        <w:rPr>
          <w:lang w:val="fr-FR"/>
        </w:rPr>
        <w:t xml:space="preserve"> </w:t>
      </w:r>
      <w:bookmarkStart w:id="0" w:name="_Toc422623888"/>
      <w:r w:rsidR="007669EF" w:rsidRPr="00632067">
        <w:rPr>
          <w:lang w:val="fr-FR"/>
        </w:rPr>
        <w:t xml:space="preserve">participation </w:t>
      </w:r>
      <w:r w:rsidRPr="00632067">
        <w:rPr>
          <w:lang w:val="fr-FR"/>
        </w:rPr>
        <w:t xml:space="preserve">d'entités et </w:t>
      </w:r>
      <w:r w:rsidR="007C60A6" w:rsidRPr="00632067">
        <w:rPr>
          <w:lang w:val="fr-FR"/>
        </w:rPr>
        <w:t>d'</w:t>
      </w:r>
      <w:r w:rsidRPr="00632067">
        <w:rPr>
          <w:lang w:val="fr-FR"/>
        </w:rPr>
        <w:t>organisations autres que les administrations aux activités de l'Union</w:t>
      </w:r>
      <w:bookmarkEnd w:id="0"/>
      <w:r w:rsidRPr="00632067">
        <w:rPr>
          <w:lang w:val="fr-FR"/>
        </w:rPr>
        <w:t>;</w:t>
      </w:r>
    </w:p>
    <w:p w14:paraId="4F13DB14" w14:textId="39B316F4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d)</w:t>
      </w:r>
      <w:r w:rsidRPr="00632067">
        <w:rPr>
          <w:lang w:val="fr-FR"/>
        </w:rPr>
        <w:tab/>
      </w:r>
      <w:bookmarkStart w:id="1" w:name="_Toc164569702"/>
      <w:r w:rsidR="007C60A6" w:rsidRPr="00632067">
        <w:rPr>
          <w:lang w:val="fr-FR"/>
        </w:rPr>
        <w:t xml:space="preserve">la </w:t>
      </w:r>
      <w:r w:rsidRPr="00632067">
        <w:rPr>
          <w:lang w:val="fr-FR"/>
        </w:rPr>
        <w:t xml:space="preserve">Résolution </w:t>
      </w:r>
      <w:r w:rsidRPr="00632067">
        <w:rPr>
          <w:rStyle w:val="href"/>
          <w:lang w:val="fr-FR"/>
        </w:rPr>
        <w:t>14</w:t>
      </w:r>
      <w:r w:rsidRPr="00632067">
        <w:rPr>
          <w:lang w:val="fr-FR"/>
        </w:rPr>
        <w:t xml:space="preserve"> (Rév. Antalya, 2006)</w:t>
      </w:r>
      <w:bookmarkEnd w:id="1"/>
      <w:r w:rsidRPr="00632067">
        <w:rPr>
          <w:lang w:val="fr-FR"/>
        </w:rPr>
        <w:t xml:space="preserve"> de la Conférence de plénipotentiaires </w:t>
      </w:r>
      <w:bookmarkStart w:id="2" w:name="_Toc422624036"/>
      <w:bookmarkStart w:id="3" w:name="_Toc165351374"/>
      <w:r w:rsidR="007C60A6" w:rsidRPr="00632067">
        <w:rPr>
          <w:lang w:val="fr-FR"/>
        </w:rPr>
        <w:t>relative à la r</w:t>
      </w:r>
      <w:r w:rsidRPr="00632067">
        <w:rPr>
          <w:lang w:val="fr-FR"/>
        </w:rPr>
        <w:t>econnaissance des droits et</w:t>
      </w:r>
      <w:r w:rsidR="00267F36" w:rsidRPr="00632067">
        <w:rPr>
          <w:lang w:val="fr-FR"/>
        </w:rPr>
        <w:t xml:space="preserve"> des</w:t>
      </w:r>
      <w:r w:rsidRPr="00632067">
        <w:rPr>
          <w:lang w:val="fr-FR"/>
        </w:rPr>
        <w:t xml:space="preserve"> obligations de tous les Membres des Secteurs de l'Union</w:t>
      </w:r>
      <w:bookmarkEnd w:id="2"/>
      <w:bookmarkEnd w:id="3"/>
      <w:r w:rsidR="00E950F7" w:rsidRPr="00632067">
        <w:rPr>
          <w:lang w:val="fr-FR"/>
        </w:rPr>
        <w:t xml:space="preserve">, qui </w:t>
      </w:r>
      <w:r w:rsidR="00300ED3" w:rsidRPr="00632067">
        <w:rPr>
          <w:color w:val="000000"/>
          <w:lang w:val="fr-FR"/>
        </w:rPr>
        <w:t>fournit des précisions supplémentaires concernant les droits et les obligations des Membres de Secteur et indique notamment que ces entités "peuvent participer à toutes les activités du Secteur concerné, à l'exception des votes officiels et de certaines conférences habilitées à conclure des traités</w:t>
      </w:r>
      <w:r w:rsidR="001E71DA" w:rsidRPr="00632067">
        <w:rPr>
          <w:color w:val="000000"/>
          <w:lang w:val="fr-FR"/>
        </w:rPr>
        <w:t>"</w:t>
      </w:r>
      <w:r w:rsidR="000A7714" w:rsidRPr="00632067">
        <w:rPr>
          <w:lang w:val="fr-FR"/>
        </w:rPr>
        <w:t>;</w:t>
      </w:r>
    </w:p>
    <w:p w14:paraId="47C85AEB" w14:textId="4988918E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e)</w:t>
      </w:r>
      <w:r w:rsidRPr="00632067">
        <w:rPr>
          <w:lang w:val="fr-FR"/>
        </w:rPr>
        <w:tab/>
      </w:r>
      <w:r w:rsidR="001E71DA" w:rsidRPr="00632067">
        <w:rPr>
          <w:lang w:val="fr-FR"/>
        </w:rPr>
        <w:t xml:space="preserve">la </w:t>
      </w:r>
      <w:r w:rsidRPr="00632067">
        <w:rPr>
          <w:lang w:val="fr-FR"/>
        </w:rPr>
        <w:t>R</w:t>
      </w:r>
      <w:r w:rsidR="000A7714" w:rsidRPr="00632067">
        <w:rPr>
          <w:lang w:val="fr-FR"/>
        </w:rPr>
        <w:t>é</w:t>
      </w:r>
      <w:r w:rsidRPr="00632067">
        <w:rPr>
          <w:lang w:val="fr-FR"/>
        </w:rPr>
        <w:t>solution 122 (R</w:t>
      </w:r>
      <w:r w:rsidR="000A7714" w:rsidRPr="00632067">
        <w:rPr>
          <w:lang w:val="fr-FR"/>
        </w:rPr>
        <w:t>é</w:t>
      </w:r>
      <w:r w:rsidRPr="00632067">
        <w:rPr>
          <w:lang w:val="fr-FR"/>
        </w:rPr>
        <w:t xml:space="preserve">v. Guadalajara, 2010) </w:t>
      </w:r>
      <w:bookmarkStart w:id="4" w:name="_Toc165351492"/>
      <w:r w:rsidR="00FD4E4C" w:rsidRPr="00632067">
        <w:rPr>
          <w:lang w:val="fr-FR"/>
        </w:rPr>
        <w:t xml:space="preserve">de la Conférence de plénipotentiaires </w:t>
      </w:r>
      <w:r w:rsidR="002B431C" w:rsidRPr="00632067">
        <w:rPr>
          <w:lang w:val="fr-FR"/>
        </w:rPr>
        <w:t>sur l'</w:t>
      </w:r>
      <w:r w:rsidR="000A7714" w:rsidRPr="00632067">
        <w:rPr>
          <w:lang w:val="fr-FR"/>
        </w:rPr>
        <w:t>évolution du rôle de l'Assemblée mondiale de normalisation des télécommunications</w:t>
      </w:r>
      <w:bookmarkEnd w:id="4"/>
      <w:r w:rsidR="00E64649" w:rsidRPr="00632067">
        <w:rPr>
          <w:lang w:val="fr-FR"/>
        </w:rPr>
        <w:t xml:space="preserve"> (AMNT)</w:t>
      </w:r>
      <w:r w:rsidRPr="00632067">
        <w:rPr>
          <w:lang w:val="fr-FR"/>
        </w:rPr>
        <w:t xml:space="preserve">, </w:t>
      </w:r>
      <w:r w:rsidR="002B431C" w:rsidRPr="00632067">
        <w:rPr>
          <w:lang w:val="fr-FR"/>
        </w:rPr>
        <w:t xml:space="preserve">qui souligne </w:t>
      </w:r>
      <w:r w:rsidR="007B27AC" w:rsidRPr="00632067">
        <w:rPr>
          <w:lang w:val="fr-FR"/>
        </w:rPr>
        <w:t>qu</w:t>
      </w:r>
      <w:r w:rsidR="00B01838" w:rsidRPr="00632067">
        <w:rPr>
          <w:lang w:val="fr-FR"/>
        </w:rPr>
        <w:t>'</w:t>
      </w:r>
      <w:r w:rsidR="007B27AC" w:rsidRPr="00632067">
        <w:rPr>
          <w:lang w:val="fr-FR"/>
        </w:rPr>
        <w:t>il est de la plus haute</w:t>
      </w:r>
      <w:r w:rsidR="001B2D63" w:rsidRPr="00632067">
        <w:rPr>
          <w:lang w:val="fr-FR"/>
        </w:rPr>
        <w:t xml:space="preserve"> importan</w:t>
      </w:r>
      <w:r w:rsidR="007B27AC" w:rsidRPr="00632067">
        <w:rPr>
          <w:lang w:val="fr-FR"/>
        </w:rPr>
        <w:t>ce</w:t>
      </w:r>
      <w:r w:rsidR="00B01838" w:rsidRPr="00632067">
        <w:rPr>
          <w:lang w:val="fr-FR"/>
        </w:rPr>
        <w:t xml:space="preserve"> </w:t>
      </w:r>
      <w:r w:rsidR="007B27AC" w:rsidRPr="00632067">
        <w:rPr>
          <w:lang w:val="fr-FR"/>
        </w:rPr>
        <w:t xml:space="preserve">que </w:t>
      </w:r>
      <w:r w:rsidR="000A7714" w:rsidRPr="00632067">
        <w:rPr>
          <w:lang w:val="fr-FR"/>
        </w:rPr>
        <w:t xml:space="preserve">les </w:t>
      </w:r>
      <w:r w:rsidR="001B2D63" w:rsidRPr="00632067">
        <w:rPr>
          <w:lang w:val="fr-FR"/>
        </w:rPr>
        <w:t>É</w:t>
      </w:r>
      <w:r w:rsidR="000A7714" w:rsidRPr="00632067">
        <w:rPr>
          <w:lang w:val="fr-FR"/>
        </w:rPr>
        <w:t xml:space="preserve">tats Membres et les Membres du Secteur de </w:t>
      </w:r>
      <w:r w:rsidR="000B504E" w:rsidRPr="00632067">
        <w:rPr>
          <w:lang w:val="fr-FR"/>
        </w:rPr>
        <w:t>la normalisation des télécommunications de l'UIT (</w:t>
      </w:r>
      <w:r w:rsidR="000A7714" w:rsidRPr="00632067">
        <w:rPr>
          <w:lang w:val="fr-FR"/>
        </w:rPr>
        <w:t>UIT</w:t>
      </w:r>
      <w:r w:rsidR="000A7714" w:rsidRPr="00632067">
        <w:rPr>
          <w:lang w:val="fr-FR"/>
        </w:rPr>
        <w:noBreakHyphen/>
        <w:t>T</w:t>
      </w:r>
      <w:r w:rsidR="000B504E" w:rsidRPr="00632067">
        <w:rPr>
          <w:lang w:val="fr-FR"/>
        </w:rPr>
        <w:t>)</w:t>
      </w:r>
      <w:r w:rsidR="00B01838" w:rsidRPr="00632067">
        <w:rPr>
          <w:lang w:val="fr-FR"/>
        </w:rPr>
        <w:t xml:space="preserve"> </w:t>
      </w:r>
      <w:r w:rsidR="007B27AC" w:rsidRPr="00632067">
        <w:rPr>
          <w:lang w:val="fr-FR"/>
        </w:rPr>
        <w:lastRenderedPageBreak/>
        <w:t xml:space="preserve">collaborent </w:t>
      </w:r>
      <w:r w:rsidR="000A7714" w:rsidRPr="00632067">
        <w:rPr>
          <w:lang w:val="fr-FR"/>
        </w:rPr>
        <w:t>étroitement, d'une manière proactive, coopérative et tournée vers l'avenir, compte tenu de leurs responsabilités et de leurs objectifs respectifs, de manière à faciliter l'évolution constante de l'UIT-T</w:t>
      </w:r>
      <w:r w:rsidRPr="00632067">
        <w:rPr>
          <w:lang w:val="fr-FR"/>
        </w:rPr>
        <w:t>;</w:t>
      </w:r>
    </w:p>
    <w:p w14:paraId="6C54CAA0" w14:textId="739C6588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f)</w:t>
      </w:r>
      <w:r w:rsidRPr="00632067">
        <w:rPr>
          <w:lang w:val="fr-FR"/>
        </w:rPr>
        <w:tab/>
      </w:r>
      <w:r w:rsidR="000B504E" w:rsidRPr="00632067">
        <w:rPr>
          <w:lang w:val="fr-FR"/>
        </w:rPr>
        <w:t xml:space="preserve">la </w:t>
      </w:r>
      <w:r w:rsidRPr="00632067">
        <w:rPr>
          <w:lang w:val="fr-FR"/>
        </w:rPr>
        <w:t>R</w:t>
      </w:r>
      <w:r w:rsidR="000A7714" w:rsidRPr="00632067">
        <w:rPr>
          <w:lang w:val="fr-FR"/>
        </w:rPr>
        <w:t>é</w:t>
      </w:r>
      <w:r w:rsidRPr="00632067">
        <w:rPr>
          <w:lang w:val="fr-FR"/>
        </w:rPr>
        <w:t>solution 208 (Duba</w:t>
      </w:r>
      <w:r w:rsidR="000A7714" w:rsidRPr="00632067">
        <w:rPr>
          <w:lang w:val="fr-FR"/>
        </w:rPr>
        <w:t>ï</w:t>
      </w:r>
      <w:r w:rsidRPr="00632067">
        <w:rPr>
          <w:lang w:val="fr-FR"/>
        </w:rPr>
        <w:t xml:space="preserve">, 2018) </w:t>
      </w:r>
      <w:r w:rsidR="000A7714" w:rsidRPr="00632067">
        <w:rPr>
          <w:lang w:val="fr-FR"/>
        </w:rPr>
        <w:t>de la Conférence de plénipotentiaires</w:t>
      </w:r>
      <w:bookmarkStart w:id="5" w:name="_Toc536018030"/>
      <w:r w:rsidR="001D11C6" w:rsidRPr="00632067">
        <w:rPr>
          <w:lang w:val="fr-FR"/>
        </w:rPr>
        <w:t xml:space="preserve"> sur la </w:t>
      </w:r>
      <w:r w:rsidR="00B01838" w:rsidRPr="00632067">
        <w:rPr>
          <w:lang w:val="fr-FR"/>
        </w:rPr>
        <w:t>nomination</w:t>
      </w:r>
      <w:r w:rsidR="000A7714" w:rsidRPr="00632067">
        <w:rPr>
          <w:lang w:val="fr-FR"/>
        </w:rPr>
        <w:t xml:space="preserve"> et </w:t>
      </w:r>
      <w:r w:rsidR="001D11C6" w:rsidRPr="00632067">
        <w:rPr>
          <w:lang w:val="fr-FR"/>
        </w:rPr>
        <w:t xml:space="preserve">la </w:t>
      </w:r>
      <w:r w:rsidR="000A7714" w:rsidRPr="00632067">
        <w:rPr>
          <w:lang w:val="fr-FR"/>
        </w:rPr>
        <w:t xml:space="preserve">durée maximale du mandat des </w:t>
      </w:r>
      <w:r w:rsidR="00B01838" w:rsidRPr="00632067">
        <w:rPr>
          <w:lang w:val="fr-FR"/>
        </w:rPr>
        <w:t>P</w:t>
      </w:r>
      <w:r w:rsidR="000A7714" w:rsidRPr="00632067">
        <w:rPr>
          <w:lang w:val="fr-FR"/>
        </w:rPr>
        <w:t xml:space="preserve">résidents et des </w:t>
      </w:r>
      <w:r w:rsidR="00B01838" w:rsidRPr="00632067">
        <w:rPr>
          <w:lang w:val="fr-FR"/>
        </w:rPr>
        <w:t>V</w:t>
      </w:r>
      <w:r w:rsidR="000A7714" w:rsidRPr="00632067">
        <w:rPr>
          <w:lang w:val="fr-FR"/>
        </w:rPr>
        <w:t>ice-</w:t>
      </w:r>
      <w:r w:rsidR="00B01838" w:rsidRPr="00632067">
        <w:rPr>
          <w:lang w:val="fr-FR"/>
        </w:rPr>
        <w:t>P</w:t>
      </w:r>
      <w:r w:rsidR="000A7714" w:rsidRPr="00632067">
        <w:rPr>
          <w:lang w:val="fr-FR"/>
        </w:rPr>
        <w:t>résidents des groupes consultatifs, des commissions d'études et des autres groupes des Secteurs</w:t>
      </w:r>
      <w:bookmarkEnd w:id="5"/>
      <w:r w:rsidRPr="00632067">
        <w:rPr>
          <w:lang w:val="fr-FR"/>
        </w:rPr>
        <w:t xml:space="preserve">, </w:t>
      </w:r>
      <w:r w:rsidR="004672AF" w:rsidRPr="00632067">
        <w:rPr>
          <w:lang w:val="fr-FR"/>
        </w:rPr>
        <w:t xml:space="preserve">qui </w:t>
      </w:r>
      <w:r w:rsidR="007B27AC" w:rsidRPr="00632067">
        <w:rPr>
          <w:lang w:val="fr-FR"/>
        </w:rPr>
        <w:t xml:space="preserve">accorde une place très importante </w:t>
      </w:r>
      <w:r w:rsidR="00A21302" w:rsidRPr="00632067">
        <w:rPr>
          <w:lang w:val="fr-FR"/>
        </w:rPr>
        <w:t xml:space="preserve">à </w:t>
      </w:r>
      <w:r w:rsidR="00E265C4" w:rsidRPr="00632067">
        <w:rPr>
          <w:lang w:val="fr-FR"/>
        </w:rPr>
        <w:t>la sélection</w:t>
      </w:r>
      <w:r w:rsidR="00F87B6F" w:rsidRPr="00632067">
        <w:rPr>
          <w:lang w:val="fr-FR"/>
        </w:rPr>
        <w:t xml:space="preserve"> des présidents</w:t>
      </w:r>
      <w:r w:rsidR="00B01838" w:rsidRPr="00632067">
        <w:rPr>
          <w:lang w:val="fr-FR"/>
        </w:rPr>
        <w:t>,</w:t>
      </w:r>
      <w:r w:rsidR="00A21302" w:rsidRPr="00632067">
        <w:rPr>
          <w:lang w:val="fr-FR"/>
        </w:rPr>
        <w:t xml:space="preserve"> </w:t>
      </w:r>
      <w:r w:rsidR="00F87B6F" w:rsidRPr="00632067">
        <w:rPr>
          <w:lang w:val="fr-FR"/>
        </w:rPr>
        <w:t>en tenant compte</w:t>
      </w:r>
      <w:r w:rsidR="00B01838" w:rsidRPr="00632067">
        <w:rPr>
          <w:lang w:val="fr-FR"/>
        </w:rPr>
        <w:t xml:space="preserve"> </w:t>
      </w:r>
      <w:r w:rsidR="00A21302" w:rsidRPr="00632067">
        <w:rPr>
          <w:lang w:val="fr-FR"/>
        </w:rPr>
        <w:t>tout</w:t>
      </w:r>
      <w:r w:rsidR="00B01838" w:rsidRPr="00632067">
        <w:rPr>
          <w:lang w:val="fr-FR"/>
        </w:rPr>
        <w:t xml:space="preserve"> </w:t>
      </w:r>
      <w:r w:rsidR="00A21302" w:rsidRPr="00632067">
        <w:rPr>
          <w:lang w:val="fr-FR"/>
        </w:rPr>
        <w:t>particulièrement</w:t>
      </w:r>
      <w:r w:rsidR="00B01838" w:rsidRPr="00632067">
        <w:rPr>
          <w:lang w:val="fr-FR"/>
        </w:rPr>
        <w:t xml:space="preserve"> </w:t>
      </w:r>
      <w:r w:rsidR="00A21302" w:rsidRPr="00632067">
        <w:rPr>
          <w:lang w:val="fr-FR"/>
        </w:rPr>
        <w:t>d</w:t>
      </w:r>
      <w:r w:rsidR="00B01838" w:rsidRPr="00632067">
        <w:rPr>
          <w:lang w:val="fr-FR"/>
        </w:rPr>
        <w:t>'</w:t>
      </w:r>
      <w:r w:rsidR="00A21302" w:rsidRPr="00632067">
        <w:rPr>
          <w:lang w:val="fr-FR"/>
        </w:rPr>
        <w:t>une</w:t>
      </w:r>
      <w:r w:rsidR="00B01838" w:rsidRPr="00632067">
        <w:rPr>
          <w:lang w:val="fr-FR"/>
        </w:rPr>
        <w:t xml:space="preserve"> </w:t>
      </w:r>
      <w:r w:rsidR="000A7714" w:rsidRPr="00632067">
        <w:rPr>
          <w:lang w:val="fr-FR"/>
        </w:rPr>
        <w:t>répartition géographique équitable</w:t>
      </w:r>
      <w:r w:rsidR="00E830DB" w:rsidRPr="00632067">
        <w:rPr>
          <w:lang w:val="fr-FR"/>
        </w:rPr>
        <w:t xml:space="preserve"> et</w:t>
      </w:r>
      <w:r w:rsidR="00A21302" w:rsidRPr="00632067">
        <w:rPr>
          <w:lang w:val="fr-FR"/>
        </w:rPr>
        <w:t xml:space="preserve"> des</w:t>
      </w:r>
      <w:r w:rsidR="003F16DE" w:rsidRPr="00632067">
        <w:rPr>
          <w:lang w:val="fr-FR"/>
        </w:rPr>
        <w:t xml:space="preserve"> compétences</w:t>
      </w:r>
      <w:r w:rsidRPr="00632067">
        <w:rPr>
          <w:lang w:val="fr-FR"/>
        </w:rPr>
        <w:t>,</w:t>
      </w:r>
      <w:r w:rsidR="00E830DB" w:rsidRPr="00632067">
        <w:rPr>
          <w:lang w:val="fr-FR"/>
        </w:rPr>
        <w:t xml:space="preserve"> y compris des</w:t>
      </w:r>
      <w:r w:rsidRPr="00632067">
        <w:rPr>
          <w:lang w:val="fr-FR"/>
        </w:rPr>
        <w:t xml:space="preserve"> </w:t>
      </w:r>
      <w:r w:rsidR="000A7714" w:rsidRPr="00632067">
        <w:rPr>
          <w:lang w:val="fr-FR"/>
        </w:rPr>
        <w:t xml:space="preserve">connaissances et </w:t>
      </w:r>
      <w:r w:rsidR="00A21302" w:rsidRPr="00632067">
        <w:rPr>
          <w:lang w:val="fr-FR"/>
        </w:rPr>
        <w:t>d</w:t>
      </w:r>
      <w:r w:rsidR="00B01838" w:rsidRPr="00632067">
        <w:rPr>
          <w:lang w:val="fr-FR"/>
        </w:rPr>
        <w:t>'</w:t>
      </w:r>
      <w:r w:rsidR="00E830DB" w:rsidRPr="00632067">
        <w:rPr>
          <w:lang w:val="fr-FR"/>
        </w:rPr>
        <w:t xml:space="preserve">une </w:t>
      </w:r>
      <w:r w:rsidR="000A7714" w:rsidRPr="00632067">
        <w:rPr>
          <w:lang w:val="fr-FR"/>
        </w:rPr>
        <w:t>expérience professionnelles pertinentes</w:t>
      </w:r>
      <w:r w:rsidRPr="00632067">
        <w:rPr>
          <w:lang w:val="fr-FR"/>
        </w:rPr>
        <w:t xml:space="preserve">, </w:t>
      </w:r>
      <w:r w:rsidR="003F16DE" w:rsidRPr="00632067">
        <w:rPr>
          <w:lang w:val="fr-FR"/>
        </w:rPr>
        <w:t xml:space="preserve">ainsi que des </w:t>
      </w:r>
      <w:r w:rsidR="000A7714" w:rsidRPr="00632067">
        <w:rPr>
          <w:lang w:val="fr-FR"/>
        </w:rPr>
        <w:t xml:space="preserve">compétences </w:t>
      </w:r>
      <w:r w:rsidR="003F16DE" w:rsidRPr="00632067">
        <w:rPr>
          <w:lang w:val="fr-FR"/>
        </w:rPr>
        <w:t xml:space="preserve">en matière </w:t>
      </w:r>
      <w:r w:rsidR="000A7714" w:rsidRPr="00632067">
        <w:rPr>
          <w:lang w:val="fr-FR"/>
        </w:rPr>
        <w:t>de gestion</w:t>
      </w:r>
      <w:r w:rsidRPr="00632067">
        <w:rPr>
          <w:lang w:val="fr-FR"/>
        </w:rPr>
        <w:t>,</w:t>
      </w:r>
    </w:p>
    <w:p w14:paraId="0BEE537D" w14:textId="1DB91933" w:rsidR="005F5932" w:rsidRPr="00632067" w:rsidRDefault="004258FD" w:rsidP="00B01838">
      <w:pPr>
        <w:pStyle w:val="Call"/>
        <w:rPr>
          <w:lang w:val="fr-FR"/>
        </w:rPr>
      </w:pPr>
      <w:r w:rsidRPr="00632067">
        <w:rPr>
          <w:lang w:val="fr-FR"/>
        </w:rPr>
        <w:t>ayant à l'esprit</w:t>
      </w:r>
    </w:p>
    <w:p w14:paraId="5105A386" w14:textId="17ECAB88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a)</w:t>
      </w:r>
      <w:r w:rsidRPr="00632067">
        <w:rPr>
          <w:lang w:val="fr-FR"/>
        </w:rPr>
        <w:tab/>
      </w:r>
      <w:r w:rsidR="00B403F4" w:rsidRPr="00632067">
        <w:rPr>
          <w:lang w:val="fr-FR"/>
        </w:rPr>
        <w:t xml:space="preserve">le But </w:t>
      </w:r>
      <w:r w:rsidR="004258FD" w:rsidRPr="00632067">
        <w:rPr>
          <w:lang w:val="fr-FR"/>
        </w:rPr>
        <w:t xml:space="preserve">5 </w:t>
      </w:r>
      <w:r w:rsidR="006C328F" w:rsidRPr="00632067">
        <w:rPr>
          <w:lang w:val="fr-FR"/>
        </w:rPr>
        <w:t xml:space="preserve">du Plan stratégique de l'Union pour la période </w:t>
      </w:r>
      <w:r w:rsidRPr="00632067">
        <w:rPr>
          <w:lang w:val="fr-FR"/>
        </w:rPr>
        <w:t>2020-2023 (R</w:t>
      </w:r>
      <w:r w:rsidR="006C328F" w:rsidRPr="00632067">
        <w:rPr>
          <w:lang w:val="fr-FR"/>
        </w:rPr>
        <w:t>é</w:t>
      </w:r>
      <w:r w:rsidRPr="00632067">
        <w:rPr>
          <w:lang w:val="fr-FR"/>
        </w:rPr>
        <w:t>solution 71, R</w:t>
      </w:r>
      <w:r w:rsidR="006C328F" w:rsidRPr="00632067">
        <w:rPr>
          <w:lang w:val="fr-FR"/>
        </w:rPr>
        <w:t>é</w:t>
      </w:r>
      <w:r w:rsidRPr="00632067">
        <w:rPr>
          <w:lang w:val="fr-FR"/>
        </w:rPr>
        <w:t>v.</w:t>
      </w:r>
      <w:r w:rsidR="005961AB" w:rsidRPr="00632067">
        <w:rPr>
          <w:lang w:val="fr-FR"/>
        </w:rPr>
        <w:t> </w:t>
      </w:r>
      <w:r w:rsidRPr="00632067">
        <w:rPr>
          <w:lang w:val="fr-FR"/>
        </w:rPr>
        <w:t>Duba</w:t>
      </w:r>
      <w:r w:rsidR="006C328F" w:rsidRPr="00632067">
        <w:rPr>
          <w:lang w:val="fr-FR"/>
        </w:rPr>
        <w:t>ï</w:t>
      </w:r>
      <w:r w:rsidRPr="00632067">
        <w:rPr>
          <w:lang w:val="fr-FR"/>
        </w:rPr>
        <w:t xml:space="preserve">, 2019) </w:t>
      </w:r>
      <w:r w:rsidR="006C328F" w:rsidRPr="00632067">
        <w:rPr>
          <w:lang w:val="fr-FR"/>
        </w:rPr>
        <w:t>de la Conférence de plénipotentiaires</w:t>
      </w:r>
      <w:r w:rsidR="0052641C" w:rsidRPr="00632067">
        <w:rPr>
          <w:lang w:val="fr-FR"/>
        </w:rPr>
        <w:t xml:space="preserve"> sur l'importance des partenariats et la nécessité</w:t>
      </w:r>
      <w:r w:rsidR="000329DF" w:rsidRPr="00632067">
        <w:rPr>
          <w:lang w:val="fr-FR"/>
        </w:rPr>
        <w:t xml:space="preserve"> d'encourager la participation des gouvernements, du secteur privé, de la société civile, des organisations intergouvernementales</w:t>
      </w:r>
      <w:r w:rsidR="00B01838" w:rsidRPr="00632067">
        <w:rPr>
          <w:lang w:val="fr-FR"/>
        </w:rPr>
        <w:t xml:space="preserve"> </w:t>
      </w:r>
      <w:r w:rsidR="00A21302" w:rsidRPr="00632067">
        <w:rPr>
          <w:lang w:val="fr-FR"/>
        </w:rPr>
        <w:t>ou</w:t>
      </w:r>
      <w:r w:rsidR="00B01838" w:rsidRPr="00632067">
        <w:rPr>
          <w:lang w:val="fr-FR"/>
        </w:rPr>
        <w:t xml:space="preserve"> </w:t>
      </w:r>
      <w:r w:rsidR="000329DF" w:rsidRPr="00632067">
        <w:rPr>
          <w:lang w:val="fr-FR"/>
        </w:rPr>
        <w:t>internationales et des milieux techniques et universitaires, ainsi que la coopération entre ces entités</w:t>
      </w:r>
      <w:r w:rsidRPr="00632067">
        <w:rPr>
          <w:lang w:val="fr-FR"/>
        </w:rPr>
        <w:t>;</w:t>
      </w:r>
    </w:p>
    <w:p w14:paraId="605F1F99" w14:textId="76CEFBAF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b)</w:t>
      </w:r>
      <w:r w:rsidRPr="00632067">
        <w:rPr>
          <w:lang w:val="fr-FR"/>
        </w:rPr>
        <w:tab/>
      </w:r>
      <w:r w:rsidR="0052641C" w:rsidRPr="00632067">
        <w:rPr>
          <w:lang w:val="fr-FR"/>
        </w:rPr>
        <w:t>la Partie 4 du Plan stratégique (</w:t>
      </w:r>
      <w:r w:rsidR="00D34F16" w:rsidRPr="00632067">
        <w:rPr>
          <w:lang w:val="fr-FR"/>
        </w:rPr>
        <w:t>Mise en œuvre et évaluation)</w:t>
      </w:r>
      <w:r w:rsidR="00A04EAF" w:rsidRPr="00632067">
        <w:rPr>
          <w:lang w:val="fr-FR"/>
        </w:rPr>
        <w:t xml:space="preserve"> figurant dans l'</w:t>
      </w:r>
      <w:r w:rsidR="00174E9D" w:rsidRPr="00632067">
        <w:rPr>
          <w:lang w:val="fr-FR"/>
        </w:rPr>
        <w:t xml:space="preserve">Annexe 1 de la Résolution 71, </w:t>
      </w:r>
      <w:r w:rsidR="000330C4" w:rsidRPr="00632067">
        <w:rPr>
          <w:lang w:val="fr-FR"/>
        </w:rPr>
        <w:t xml:space="preserve">qui </w:t>
      </w:r>
      <w:r w:rsidR="00596DA9" w:rsidRPr="00632067">
        <w:rPr>
          <w:lang w:val="fr-FR"/>
        </w:rPr>
        <w:t xml:space="preserve">met en évidence les avantages </w:t>
      </w:r>
      <w:r w:rsidR="004F18E9" w:rsidRPr="00632067">
        <w:rPr>
          <w:lang w:val="fr-FR"/>
        </w:rPr>
        <w:t>liés à la</w:t>
      </w:r>
      <w:r w:rsidR="00B01838" w:rsidRPr="00632067">
        <w:rPr>
          <w:lang w:val="fr-FR"/>
        </w:rPr>
        <w:t xml:space="preserve"> </w:t>
      </w:r>
      <w:r w:rsidR="00A21302" w:rsidRPr="00632067">
        <w:rPr>
          <w:lang w:val="fr-FR"/>
        </w:rPr>
        <w:t xml:space="preserve">définition </w:t>
      </w:r>
      <w:r w:rsidR="000B2E10" w:rsidRPr="00632067">
        <w:rPr>
          <w:lang w:val="fr-FR"/>
        </w:rPr>
        <w:t>de</w:t>
      </w:r>
      <w:r w:rsidR="000330C4" w:rsidRPr="00632067">
        <w:rPr>
          <w:lang w:val="fr-FR"/>
        </w:rPr>
        <w:t xml:space="preserve"> </w:t>
      </w:r>
      <w:r w:rsidR="000330C4" w:rsidRPr="00632067">
        <w:rPr>
          <w:color w:val="000000"/>
          <w:lang w:val="fr-FR"/>
        </w:rPr>
        <w:t>critères précis pour établir un ordre de priorité entre les différentes activités et initiatives que l'Union souhaite entreprendre</w:t>
      </w:r>
      <w:r w:rsidR="000B2E10" w:rsidRPr="00632067">
        <w:rPr>
          <w:color w:val="000000"/>
          <w:lang w:val="fr-FR"/>
        </w:rPr>
        <w:t>,</w:t>
      </w:r>
      <w:r w:rsidR="000B2E10" w:rsidRPr="00632067">
        <w:rPr>
          <w:lang w:val="fr-FR"/>
        </w:rPr>
        <w:t xml:space="preserve"> </w:t>
      </w:r>
      <w:r w:rsidR="00B36723" w:rsidRPr="00632067">
        <w:rPr>
          <w:lang w:val="fr-FR"/>
        </w:rPr>
        <w:t xml:space="preserve">par exemple la participation </w:t>
      </w:r>
      <w:r w:rsidR="00B36723" w:rsidRPr="00632067">
        <w:rPr>
          <w:color w:val="000000"/>
          <w:lang w:val="fr-FR"/>
        </w:rPr>
        <w:t>à des activités pour lesquelles l'UIT apporte une forte valeur ajoutée</w:t>
      </w:r>
      <w:r w:rsidRPr="00632067">
        <w:rPr>
          <w:lang w:val="fr-FR"/>
        </w:rPr>
        <w:t>;</w:t>
      </w:r>
    </w:p>
    <w:p w14:paraId="3C4C1B35" w14:textId="0419C176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c)</w:t>
      </w:r>
      <w:r w:rsidRPr="00632067">
        <w:rPr>
          <w:lang w:val="fr-FR"/>
        </w:rPr>
        <w:tab/>
      </w:r>
      <w:r w:rsidR="00CF1BE8" w:rsidRPr="00632067">
        <w:rPr>
          <w:lang w:val="fr-FR"/>
        </w:rPr>
        <w:t xml:space="preserve">que </w:t>
      </w:r>
      <w:r w:rsidR="00262EB3" w:rsidRPr="00632067">
        <w:rPr>
          <w:lang w:val="fr-FR"/>
        </w:rPr>
        <w:t>l</w:t>
      </w:r>
      <w:r w:rsidR="00D67F9F" w:rsidRPr="00632067">
        <w:rPr>
          <w:lang w:val="fr-FR"/>
        </w:rPr>
        <w:t>e</w:t>
      </w:r>
      <w:r w:rsidR="00262EB3" w:rsidRPr="00632067">
        <w:rPr>
          <w:lang w:val="fr-FR"/>
        </w:rPr>
        <w:t xml:space="preserve"> </w:t>
      </w:r>
      <w:r w:rsidR="00A16574" w:rsidRPr="00632067">
        <w:rPr>
          <w:lang w:val="fr-FR"/>
        </w:rPr>
        <w:t>rythme sans pr</w:t>
      </w:r>
      <w:r w:rsidR="00262EB3" w:rsidRPr="00632067">
        <w:rPr>
          <w:lang w:val="fr-FR"/>
        </w:rPr>
        <w:t xml:space="preserve">écédent </w:t>
      </w:r>
      <w:r w:rsidR="00A16574" w:rsidRPr="00632067">
        <w:rPr>
          <w:lang w:val="fr-FR"/>
        </w:rPr>
        <w:t>auquel</w:t>
      </w:r>
      <w:r w:rsidR="00262EB3" w:rsidRPr="00632067">
        <w:rPr>
          <w:lang w:val="fr-FR"/>
        </w:rPr>
        <w:t xml:space="preserve"> les nouvelles technologies</w:t>
      </w:r>
      <w:r w:rsidR="00FC6079" w:rsidRPr="00632067">
        <w:rPr>
          <w:lang w:val="fr-FR"/>
        </w:rPr>
        <w:t xml:space="preserve"> de télécommunication/technologies de l'information et de la communication (TIC) évoluent</w:t>
      </w:r>
      <w:r w:rsidR="003D4470" w:rsidRPr="00632067">
        <w:rPr>
          <w:lang w:val="fr-FR"/>
        </w:rPr>
        <w:t xml:space="preserve">, </w:t>
      </w:r>
      <w:r w:rsidR="00A21302" w:rsidRPr="00632067">
        <w:rPr>
          <w:lang w:val="fr-FR"/>
        </w:rPr>
        <w:t>conjugué</w:t>
      </w:r>
      <w:r w:rsidR="00B01838" w:rsidRPr="00632067">
        <w:rPr>
          <w:lang w:val="fr-FR"/>
        </w:rPr>
        <w:t xml:space="preserve"> </w:t>
      </w:r>
      <w:r w:rsidR="003D4470" w:rsidRPr="00632067">
        <w:rPr>
          <w:lang w:val="fr-FR"/>
        </w:rPr>
        <w:t xml:space="preserve">à la nécessité </w:t>
      </w:r>
      <w:r w:rsidR="00F9490E" w:rsidRPr="00632067">
        <w:rPr>
          <w:lang w:val="fr-FR"/>
        </w:rPr>
        <w:t>pour</w:t>
      </w:r>
      <w:r w:rsidR="00346051" w:rsidRPr="00632067">
        <w:rPr>
          <w:lang w:val="fr-FR"/>
        </w:rPr>
        <w:t xml:space="preserve"> </w:t>
      </w:r>
      <w:r w:rsidR="007F28D8" w:rsidRPr="00632067">
        <w:rPr>
          <w:lang w:val="fr-FR"/>
        </w:rPr>
        <w:t>les normes</w:t>
      </w:r>
      <w:r w:rsidR="00F9490E" w:rsidRPr="00632067">
        <w:rPr>
          <w:lang w:val="fr-FR"/>
        </w:rPr>
        <w:t xml:space="preserve"> de</w:t>
      </w:r>
      <w:r w:rsidR="00F9490E" w:rsidRPr="00632067">
        <w:rPr>
          <w:color w:val="000000"/>
          <w:lang w:val="fr-FR"/>
        </w:rPr>
        <w:t xml:space="preserve"> suivre le rythme de cette évolution</w:t>
      </w:r>
      <w:r w:rsidR="00F73054" w:rsidRPr="00632067">
        <w:rPr>
          <w:lang w:val="fr-FR"/>
        </w:rPr>
        <w:t>,</w:t>
      </w:r>
      <w:r w:rsidR="007F28D8" w:rsidRPr="00632067">
        <w:rPr>
          <w:lang w:val="fr-FR"/>
        </w:rPr>
        <w:t xml:space="preserve"> </w:t>
      </w:r>
      <w:r w:rsidR="00CE7BA8" w:rsidRPr="00632067">
        <w:rPr>
          <w:lang w:val="fr-FR"/>
        </w:rPr>
        <w:t>et</w:t>
      </w:r>
      <w:r w:rsidR="007F28D8" w:rsidRPr="00632067">
        <w:rPr>
          <w:lang w:val="fr-FR"/>
        </w:rPr>
        <w:t xml:space="preserve"> </w:t>
      </w:r>
      <w:r w:rsidR="0093086C" w:rsidRPr="00632067">
        <w:rPr>
          <w:lang w:val="fr-FR"/>
        </w:rPr>
        <w:t xml:space="preserve">la convergence </w:t>
      </w:r>
      <w:r w:rsidR="0023235C" w:rsidRPr="00632067">
        <w:rPr>
          <w:lang w:val="fr-FR"/>
        </w:rPr>
        <w:t xml:space="preserve">des technologies </w:t>
      </w:r>
      <w:r w:rsidR="00AE6807" w:rsidRPr="00632067">
        <w:rPr>
          <w:lang w:val="fr-FR"/>
        </w:rPr>
        <w:t xml:space="preserve">informatiques, </w:t>
      </w:r>
      <w:r w:rsidR="0023235C" w:rsidRPr="00632067">
        <w:rPr>
          <w:lang w:val="fr-FR"/>
        </w:rPr>
        <w:t>de télécommunication, de radiodiffusion et d</w:t>
      </w:r>
      <w:r w:rsidR="00F9490E" w:rsidRPr="00632067">
        <w:rPr>
          <w:lang w:val="fr-FR"/>
        </w:rPr>
        <w:t>e l</w:t>
      </w:r>
      <w:r w:rsidR="0023235C" w:rsidRPr="00632067">
        <w:rPr>
          <w:lang w:val="fr-FR"/>
        </w:rPr>
        <w:t>'information</w:t>
      </w:r>
      <w:r w:rsidR="00B01838" w:rsidRPr="00632067">
        <w:rPr>
          <w:lang w:val="fr-FR"/>
        </w:rPr>
        <w:t xml:space="preserve"> </w:t>
      </w:r>
      <w:r w:rsidR="00F9490E" w:rsidRPr="00632067">
        <w:rPr>
          <w:lang w:val="fr-FR"/>
        </w:rPr>
        <w:t>pour donner naissance à</w:t>
      </w:r>
      <w:r w:rsidR="00F9490E" w:rsidRPr="00632067" w:rsidDel="00F9490E">
        <w:rPr>
          <w:lang w:val="fr-FR"/>
        </w:rPr>
        <w:t xml:space="preserve"> </w:t>
      </w:r>
      <w:r w:rsidR="006D29A7" w:rsidRPr="00632067">
        <w:rPr>
          <w:lang w:val="fr-FR"/>
        </w:rPr>
        <w:t>un nombre croissant de systèmes de communication intégrés et à valeur ajoutée</w:t>
      </w:r>
      <w:r w:rsidR="00F9490E" w:rsidRPr="00632067">
        <w:rPr>
          <w:lang w:val="fr-FR"/>
        </w:rPr>
        <w:t xml:space="preserve"> </w:t>
      </w:r>
      <w:r w:rsidR="00CE7BA8" w:rsidRPr="00632067">
        <w:rPr>
          <w:lang w:val="fr-FR"/>
        </w:rPr>
        <w:t>ont</w:t>
      </w:r>
      <w:r w:rsidR="000F1AA2" w:rsidRPr="00632067">
        <w:rPr>
          <w:lang w:val="fr-FR"/>
        </w:rPr>
        <w:t xml:space="preserve"> </w:t>
      </w:r>
      <w:r w:rsidR="00F9490E" w:rsidRPr="00632067">
        <w:rPr>
          <w:lang w:val="fr-FR"/>
        </w:rPr>
        <w:t>fait ressortir l</w:t>
      </w:r>
      <w:r w:rsidR="00B01838" w:rsidRPr="00632067">
        <w:rPr>
          <w:lang w:val="fr-FR"/>
        </w:rPr>
        <w:t>'</w:t>
      </w:r>
      <w:r w:rsidR="00F9490E" w:rsidRPr="00632067">
        <w:rPr>
          <w:lang w:val="fr-FR"/>
        </w:rPr>
        <w:t>importance du</w:t>
      </w:r>
      <w:r w:rsidR="007C14CF" w:rsidRPr="00632067">
        <w:rPr>
          <w:lang w:val="fr-FR"/>
        </w:rPr>
        <w:t xml:space="preserve"> rôle</w:t>
      </w:r>
      <w:r w:rsidR="00F9490E" w:rsidRPr="00632067">
        <w:rPr>
          <w:lang w:val="fr-FR"/>
        </w:rPr>
        <w:t xml:space="preserve"> du</w:t>
      </w:r>
      <w:r w:rsidR="00B01838" w:rsidRPr="00632067">
        <w:rPr>
          <w:lang w:val="fr-FR"/>
        </w:rPr>
        <w:t xml:space="preserve"> </w:t>
      </w:r>
      <w:r w:rsidR="007C14CF" w:rsidRPr="00632067">
        <w:rPr>
          <w:lang w:val="fr-FR"/>
        </w:rPr>
        <w:t xml:space="preserve">secteur privé </w:t>
      </w:r>
      <w:r w:rsidR="00672796" w:rsidRPr="00632067">
        <w:rPr>
          <w:lang w:val="fr-FR"/>
        </w:rPr>
        <w:t>afin de</w:t>
      </w:r>
      <w:r w:rsidR="007C14CF" w:rsidRPr="00632067">
        <w:rPr>
          <w:lang w:val="fr-FR"/>
        </w:rPr>
        <w:t xml:space="preserve"> veiller à ce que l'UIT</w:t>
      </w:r>
      <w:r w:rsidR="00B01838" w:rsidRPr="00632067">
        <w:rPr>
          <w:lang w:val="fr-FR"/>
        </w:rPr>
        <w:t xml:space="preserve"> </w:t>
      </w:r>
      <w:r w:rsidR="00F9490E" w:rsidRPr="00632067">
        <w:rPr>
          <w:lang w:val="fr-FR"/>
        </w:rPr>
        <w:t>reste</w:t>
      </w:r>
      <w:r w:rsidR="00B01838" w:rsidRPr="00632067">
        <w:rPr>
          <w:lang w:val="fr-FR"/>
        </w:rPr>
        <w:t xml:space="preserve"> </w:t>
      </w:r>
      <w:r w:rsidR="00100348" w:rsidRPr="00632067">
        <w:rPr>
          <w:lang w:val="fr-FR"/>
        </w:rPr>
        <w:t xml:space="preserve">en </w:t>
      </w:r>
      <w:r w:rsidR="00F9490E" w:rsidRPr="00632067">
        <w:rPr>
          <w:lang w:val="fr-FR"/>
        </w:rPr>
        <w:t>phase avec l</w:t>
      </w:r>
      <w:r w:rsidR="00B01838" w:rsidRPr="00632067">
        <w:rPr>
          <w:lang w:val="fr-FR"/>
        </w:rPr>
        <w:t>'</w:t>
      </w:r>
      <w:r w:rsidR="00F9490E" w:rsidRPr="00632067">
        <w:rPr>
          <w:lang w:val="fr-FR"/>
        </w:rPr>
        <w:t>évolution de</w:t>
      </w:r>
      <w:r w:rsidR="00B01838" w:rsidRPr="00632067">
        <w:rPr>
          <w:lang w:val="fr-FR"/>
        </w:rPr>
        <w:t xml:space="preserve"> </w:t>
      </w:r>
      <w:r w:rsidR="00913470" w:rsidRPr="00632067">
        <w:rPr>
          <w:lang w:val="fr-FR"/>
        </w:rPr>
        <w:t>l'environnement des</w:t>
      </w:r>
      <w:r w:rsidR="00A0092A" w:rsidRPr="00632067">
        <w:rPr>
          <w:lang w:val="fr-FR"/>
        </w:rPr>
        <w:t xml:space="preserve"> télécommunications/TIC </w:t>
      </w:r>
      <w:r w:rsidR="00F9490E" w:rsidRPr="00632067">
        <w:rPr>
          <w:color w:val="000000"/>
          <w:lang w:val="fr-FR"/>
        </w:rPr>
        <w:t>au sens large</w:t>
      </w:r>
      <w:r w:rsidR="00B01838" w:rsidRPr="00632067">
        <w:rPr>
          <w:color w:val="000000"/>
          <w:lang w:val="fr-FR"/>
        </w:rPr>
        <w:t>;</w:t>
      </w:r>
    </w:p>
    <w:p w14:paraId="4EBC85F0" w14:textId="1FB80350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d)</w:t>
      </w:r>
      <w:r w:rsidRPr="00632067">
        <w:rPr>
          <w:lang w:val="fr-FR"/>
        </w:rPr>
        <w:tab/>
      </w:r>
      <w:r w:rsidR="00EE21D4" w:rsidRPr="00632067">
        <w:rPr>
          <w:lang w:val="fr-FR"/>
        </w:rPr>
        <w:t>qu'à</w:t>
      </w:r>
      <w:r w:rsidR="00913470" w:rsidRPr="00632067">
        <w:rPr>
          <w:lang w:val="fr-FR"/>
        </w:rPr>
        <w:t xml:space="preserve"> l'UIT-T, les acteurs du secteur privé ont</w:t>
      </w:r>
      <w:r w:rsidR="00B01838" w:rsidRPr="00632067">
        <w:rPr>
          <w:lang w:val="fr-FR"/>
        </w:rPr>
        <w:t xml:space="preserve"> </w:t>
      </w:r>
      <w:r w:rsidR="00F9490E" w:rsidRPr="00632067">
        <w:rPr>
          <w:lang w:val="fr-FR"/>
        </w:rPr>
        <w:t>apporté</w:t>
      </w:r>
      <w:r w:rsidR="00B01838" w:rsidRPr="00632067">
        <w:rPr>
          <w:lang w:val="fr-FR"/>
        </w:rPr>
        <w:t xml:space="preserve"> </w:t>
      </w:r>
      <w:r w:rsidR="00FD3C51" w:rsidRPr="00632067">
        <w:rPr>
          <w:lang w:val="fr-FR"/>
        </w:rPr>
        <w:t xml:space="preserve">leurs </w:t>
      </w:r>
      <w:r w:rsidR="00F9490E" w:rsidRPr="00632067">
        <w:rPr>
          <w:lang w:val="fr-FR"/>
        </w:rPr>
        <w:t xml:space="preserve">compétences </w:t>
      </w:r>
      <w:r w:rsidR="00000E34" w:rsidRPr="00632067">
        <w:rPr>
          <w:lang w:val="fr-FR"/>
        </w:rPr>
        <w:t xml:space="preserve">spécialisées </w:t>
      </w:r>
      <w:r w:rsidR="003E4EBB" w:rsidRPr="00632067">
        <w:rPr>
          <w:lang w:val="fr-FR"/>
        </w:rPr>
        <w:t>d</w:t>
      </w:r>
      <w:r w:rsidR="00FD3C51" w:rsidRPr="00632067">
        <w:rPr>
          <w:lang w:val="fr-FR"/>
        </w:rPr>
        <w:t>ans d</w:t>
      </w:r>
      <w:r w:rsidR="003E4EBB" w:rsidRPr="00632067">
        <w:rPr>
          <w:lang w:val="fr-FR"/>
        </w:rPr>
        <w:t>es</w:t>
      </w:r>
      <w:r w:rsidR="00000E34" w:rsidRPr="00632067">
        <w:rPr>
          <w:lang w:val="fr-FR"/>
        </w:rPr>
        <w:t xml:space="preserve"> domaines</w:t>
      </w:r>
      <w:r w:rsidR="00B01838" w:rsidRPr="00632067">
        <w:rPr>
          <w:lang w:val="fr-FR"/>
        </w:rPr>
        <w:t xml:space="preserve"> </w:t>
      </w:r>
      <w:r w:rsidR="00F9490E" w:rsidRPr="00632067">
        <w:rPr>
          <w:lang w:val="fr-FR"/>
        </w:rPr>
        <w:t>d</w:t>
      </w:r>
      <w:r w:rsidR="00B01838" w:rsidRPr="00632067">
        <w:rPr>
          <w:lang w:val="fr-FR"/>
        </w:rPr>
        <w:t>'</w:t>
      </w:r>
      <w:r w:rsidR="00F9490E" w:rsidRPr="00632067">
        <w:rPr>
          <w:lang w:val="fr-FR"/>
        </w:rPr>
        <w:t>étude</w:t>
      </w:r>
      <w:r w:rsidR="00B01838" w:rsidRPr="00632067">
        <w:rPr>
          <w:lang w:val="fr-FR"/>
        </w:rPr>
        <w:t xml:space="preserve"> </w:t>
      </w:r>
      <w:r w:rsidR="00B35F27" w:rsidRPr="00632067">
        <w:rPr>
          <w:lang w:val="fr-FR"/>
        </w:rPr>
        <w:t xml:space="preserve">pour lesquels elles se sont révélées </w:t>
      </w:r>
      <w:r w:rsidR="00C12DB9" w:rsidRPr="00632067">
        <w:rPr>
          <w:lang w:val="fr-FR"/>
        </w:rPr>
        <w:t>très précieuses</w:t>
      </w:r>
      <w:r w:rsidR="00632067" w:rsidRPr="00632067">
        <w:rPr>
          <w:lang w:val="fr-FR"/>
        </w:rPr>
        <w:t>,</w:t>
      </w:r>
    </w:p>
    <w:p w14:paraId="316B1F2E" w14:textId="6602CD75" w:rsidR="005F5932" w:rsidRPr="00632067" w:rsidRDefault="005F5932" w:rsidP="00B01838">
      <w:pPr>
        <w:pStyle w:val="Call"/>
        <w:rPr>
          <w:lang w:val="fr-FR"/>
        </w:rPr>
      </w:pPr>
      <w:r w:rsidRPr="00632067">
        <w:rPr>
          <w:lang w:val="fr-FR"/>
        </w:rPr>
        <w:lastRenderedPageBreak/>
        <w:t>reco</w:t>
      </w:r>
      <w:r w:rsidR="00521967" w:rsidRPr="00632067">
        <w:rPr>
          <w:lang w:val="fr-FR"/>
        </w:rPr>
        <w:t>nnaissant</w:t>
      </w:r>
    </w:p>
    <w:p w14:paraId="7597FD20" w14:textId="2C7D907A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a)</w:t>
      </w:r>
      <w:r w:rsidRPr="00632067">
        <w:rPr>
          <w:lang w:val="fr-FR"/>
        </w:rPr>
        <w:tab/>
      </w:r>
      <w:r w:rsidR="00D47901" w:rsidRPr="00632067">
        <w:rPr>
          <w:lang w:val="fr-FR"/>
        </w:rPr>
        <w:t xml:space="preserve">que depuis 2009, des réunions </w:t>
      </w:r>
      <w:r w:rsidR="00076ABC" w:rsidRPr="00632067">
        <w:rPr>
          <w:lang w:val="fr-FR"/>
        </w:rPr>
        <w:t>de directeurs techniques</w:t>
      </w:r>
      <w:r w:rsidR="00E1498F" w:rsidRPr="00632067">
        <w:rPr>
          <w:lang w:val="fr-FR"/>
        </w:rPr>
        <w:t xml:space="preserve"> (CTO)</w:t>
      </w:r>
      <w:r w:rsidR="00076ABC" w:rsidRPr="00632067">
        <w:rPr>
          <w:lang w:val="fr-FR"/>
        </w:rPr>
        <w:t xml:space="preserve"> et de hauts dirigeants </w:t>
      </w:r>
      <w:r w:rsidR="006D3FB8" w:rsidRPr="00632067">
        <w:rPr>
          <w:lang w:val="fr-FR"/>
        </w:rPr>
        <w:t>(C</w:t>
      </w:r>
      <w:r w:rsidR="00632067" w:rsidRPr="00632067">
        <w:rPr>
          <w:lang w:val="fr-FR"/>
        </w:rPr>
        <w:t>X</w:t>
      </w:r>
      <w:r w:rsidR="006D3FB8" w:rsidRPr="00632067">
        <w:rPr>
          <w:lang w:val="fr-FR"/>
        </w:rPr>
        <w:t xml:space="preserve">O) </w:t>
      </w:r>
      <w:r w:rsidR="00DE7BBD" w:rsidRPr="00632067">
        <w:rPr>
          <w:lang w:val="fr-FR"/>
        </w:rPr>
        <w:t xml:space="preserve">rassemblant des cadres supérieurs du secteur privé </w:t>
      </w:r>
      <w:r w:rsidR="00B35F27" w:rsidRPr="00632067">
        <w:rPr>
          <w:lang w:val="fr-FR"/>
        </w:rPr>
        <w:t>s</w:t>
      </w:r>
      <w:r w:rsidR="00DE7BBD" w:rsidRPr="00632067">
        <w:rPr>
          <w:lang w:val="fr-FR"/>
        </w:rPr>
        <w:t>ont</w:t>
      </w:r>
      <w:r w:rsidR="00B01838" w:rsidRPr="00632067">
        <w:rPr>
          <w:lang w:val="fr-FR"/>
        </w:rPr>
        <w:t xml:space="preserve"> </w:t>
      </w:r>
      <w:r w:rsidR="00DE7BBD" w:rsidRPr="00632067">
        <w:rPr>
          <w:lang w:val="fr-FR"/>
        </w:rPr>
        <w:t>organisées par le Directeur du Bureau de la normalisation des télécommunications (TSB)</w:t>
      </w:r>
      <w:r w:rsidR="00B35F27" w:rsidRPr="00632067">
        <w:rPr>
          <w:lang w:val="fr-FR"/>
        </w:rPr>
        <w:t>,</w:t>
      </w:r>
      <w:r w:rsidR="00B01838" w:rsidRPr="00632067">
        <w:rPr>
          <w:lang w:val="fr-FR"/>
        </w:rPr>
        <w:t xml:space="preserve"> </w:t>
      </w:r>
      <w:r w:rsidR="006869ED" w:rsidRPr="00632067">
        <w:rPr>
          <w:lang w:val="fr-FR"/>
        </w:rPr>
        <w:t>afin de débattre de</w:t>
      </w:r>
      <w:r w:rsidR="00A27C75" w:rsidRPr="00632067">
        <w:rPr>
          <w:lang w:val="fr-FR"/>
        </w:rPr>
        <w:t xml:space="preserve"> l'environnement de la normalisation</w:t>
      </w:r>
      <w:r w:rsidR="00B35F27" w:rsidRPr="00632067">
        <w:rPr>
          <w:lang w:val="fr-FR"/>
        </w:rPr>
        <w:t xml:space="preserve"> et de</w:t>
      </w:r>
      <w:r w:rsidR="00B01838" w:rsidRPr="00632067">
        <w:rPr>
          <w:lang w:val="fr-FR"/>
        </w:rPr>
        <w:t xml:space="preserve"> </w:t>
      </w:r>
      <w:r w:rsidR="00B35F27" w:rsidRPr="00632067">
        <w:rPr>
          <w:lang w:val="fr-FR"/>
        </w:rPr>
        <w:t>définir</w:t>
      </w:r>
      <w:r w:rsidR="00B01838" w:rsidRPr="00632067">
        <w:rPr>
          <w:lang w:val="fr-FR"/>
        </w:rPr>
        <w:t xml:space="preserve"> </w:t>
      </w:r>
      <w:r w:rsidR="008404F3" w:rsidRPr="00632067">
        <w:rPr>
          <w:lang w:val="fr-FR"/>
        </w:rPr>
        <w:t xml:space="preserve">et de coordonner </w:t>
      </w:r>
      <w:r w:rsidR="0075143E" w:rsidRPr="00632067">
        <w:rPr>
          <w:lang w:val="fr-FR"/>
        </w:rPr>
        <w:t xml:space="preserve">les priorités </w:t>
      </w:r>
      <w:r w:rsidR="00B35F27" w:rsidRPr="00632067">
        <w:rPr>
          <w:lang w:val="fr-FR"/>
        </w:rPr>
        <w:t>dans le domaine</w:t>
      </w:r>
      <w:r w:rsidR="0075143E" w:rsidRPr="00632067">
        <w:rPr>
          <w:lang w:val="fr-FR"/>
        </w:rPr>
        <w:t xml:space="preserve"> de </w:t>
      </w:r>
      <w:r w:rsidR="00B35F27" w:rsidRPr="00632067">
        <w:rPr>
          <w:lang w:val="fr-FR"/>
        </w:rPr>
        <w:t xml:space="preserve">la </w:t>
      </w:r>
      <w:r w:rsidR="0075143E" w:rsidRPr="00632067">
        <w:rPr>
          <w:lang w:val="fr-FR"/>
        </w:rPr>
        <w:t xml:space="preserve">normalisation </w:t>
      </w:r>
      <w:r w:rsidR="008404F3" w:rsidRPr="00632067">
        <w:rPr>
          <w:lang w:val="fr-FR"/>
        </w:rPr>
        <w:t>ainsi que les moyens de répondre</w:t>
      </w:r>
      <w:r w:rsidR="002C32FE" w:rsidRPr="00632067">
        <w:rPr>
          <w:lang w:val="fr-FR"/>
        </w:rPr>
        <w:t xml:space="preserve"> au mieux</w:t>
      </w:r>
      <w:r w:rsidR="008404F3" w:rsidRPr="00632067">
        <w:rPr>
          <w:lang w:val="fr-FR"/>
        </w:rPr>
        <w:t xml:space="preserve"> aux besoins du secteur privé</w:t>
      </w:r>
      <w:r w:rsidR="004045C0" w:rsidRPr="00632067">
        <w:rPr>
          <w:lang w:val="fr-FR"/>
        </w:rPr>
        <w:t>,</w:t>
      </w:r>
      <w:r w:rsidR="00B01838" w:rsidRPr="00632067">
        <w:rPr>
          <w:lang w:val="fr-FR"/>
        </w:rPr>
        <w:t xml:space="preserve"> </w:t>
      </w:r>
      <w:r w:rsidR="00B35F27" w:rsidRPr="00632067">
        <w:rPr>
          <w:lang w:val="fr-FR"/>
        </w:rPr>
        <w:t xml:space="preserve">et que </w:t>
      </w:r>
      <w:r w:rsidR="00413C28" w:rsidRPr="00632067">
        <w:rPr>
          <w:lang w:val="fr-FR"/>
        </w:rPr>
        <w:t xml:space="preserve">les rapports </w:t>
      </w:r>
      <w:r w:rsidR="00B35F27" w:rsidRPr="00632067">
        <w:rPr>
          <w:lang w:val="fr-FR"/>
        </w:rPr>
        <w:t xml:space="preserve">de ces réunions </w:t>
      </w:r>
      <w:r w:rsidR="00413C28" w:rsidRPr="00632067">
        <w:rPr>
          <w:lang w:val="fr-FR"/>
        </w:rPr>
        <w:t xml:space="preserve">ont </w:t>
      </w:r>
      <w:r w:rsidR="004045C0" w:rsidRPr="00632067">
        <w:rPr>
          <w:lang w:val="fr-FR"/>
        </w:rPr>
        <w:t>été examinés</w:t>
      </w:r>
      <w:r w:rsidR="00E1498F" w:rsidRPr="00632067">
        <w:rPr>
          <w:lang w:val="fr-FR"/>
        </w:rPr>
        <w:t xml:space="preserve"> par le GCNT</w:t>
      </w:r>
      <w:r w:rsidRPr="00632067">
        <w:rPr>
          <w:lang w:val="fr-FR"/>
        </w:rPr>
        <w:t xml:space="preserve">; </w:t>
      </w:r>
    </w:p>
    <w:p w14:paraId="62D6B786" w14:textId="33BBD3A9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b)</w:t>
      </w:r>
      <w:r w:rsidRPr="00632067">
        <w:rPr>
          <w:lang w:val="fr-FR"/>
        </w:rPr>
        <w:tab/>
      </w:r>
      <w:r w:rsidR="0016697A" w:rsidRPr="00632067">
        <w:rPr>
          <w:lang w:val="fr-FR"/>
        </w:rPr>
        <w:t>que</w:t>
      </w:r>
      <w:r w:rsidR="00B35F27" w:rsidRPr="00632067">
        <w:rPr>
          <w:lang w:val="fr-FR"/>
        </w:rPr>
        <w:t xml:space="preserve"> </w:t>
      </w:r>
      <w:r w:rsidR="0016697A" w:rsidRPr="00632067">
        <w:rPr>
          <w:lang w:val="fr-FR"/>
        </w:rPr>
        <w:t>dans</w:t>
      </w:r>
      <w:r w:rsidR="00B35F27" w:rsidRPr="00632067">
        <w:rPr>
          <w:lang w:val="fr-FR"/>
        </w:rPr>
        <w:t xml:space="preserve"> le cadre</w:t>
      </w:r>
      <w:r w:rsidR="0016697A" w:rsidRPr="00632067">
        <w:rPr>
          <w:lang w:val="fr-FR"/>
        </w:rPr>
        <w:t xml:space="preserve"> de son mandat</w:t>
      </w:r>
      <w:r w:rsidR="00B35F27" w:rsidRPr="00632067">
        <w:rPr>
          <w:lang w:val="fr-FR"/>
        </w:rPr>
        <w:t>, qui</w:t>
      </w:r>
      <w:r w:rsidR="00B01838" w:rsidRPr="00632067">
        <w:rPr>
          <w:lang w:val="fr-FR"/>
        </w:rPr>
        <w:t xml:space="preserve"> </w:t>
      </w:r>
      <w:r w:rsidR="00B35F27" w:rsidRPr="00632067">
        <w:rPr>
          <w:lang w:val="fr-FR"/>
        </w:rPr>
        <w:t xml:space="preserve">consiste </w:t>
      </w:r>
      <w:r w:rsidR="0016697A" w:rsidRPr="00632067">
        <w:rPr>
          <w:lang w:val="fr-FR"/>
        </w:rPr>
        <w:t>à</w:t>
      </w:r>
      <w:r w:rsidR="0031229F" w:rsidRPr="00632067">
        <w:rPr>
          <w:lang w:val="fr-FR"/>
        </w:rPr>
        <w:t xml:space="preserve"> </w:t>
      </w:r>
      <w:r w:rsidR="008F1EAC" w:rsidRPr="00632067">
        <w:rPr>
          <w:lang w:val="fr-FR"/>
        </w:rPr>
        <w:t xml:space="preserve">fournir des avis au GCNT et aux commissions d'études </w:t>
      </w:r>
      <w:r w:rsidR="001C5AE2" w:rsidRPr="00632067">
        <w:rPr>
          <w:lang w:val="fr-FR"/>
        </w:rPr>
        <w:t xml:space="preserve">sur </w:t>
      </w:r>
      <w:r w:rsidR="00B35F27" w:rsidRPr="00632067">
        <w:rPr>
          <w:lang w:val="fr-FR"/>
        </w:rPr>
        <w:t>les questions</w:t>
      </w:r>
      <w:r w:rsidR="00B01838" w:rsidRPr="00632067">
        <w:rPr>
          <w:lang w:val="fr-FR"/>
        </w:rPr>
        <w:t xml:space="preserve"> </w:t>
      </w:r>
      <w:r w:rsidR="008F1EAC" w:rsidRPr="00632067">
        <w:rPr>
          <w:lang w:val="fr-FR"/>
        </w:rPr>
        <w:t>stratégiques</w:t>
      </w:r>
      <w:r w:rsidR="001C5AE2" w:rsidRPr="00632067">
        <w:rPr>
          <w:lang w:val="fr-FR"/>
        </w:rPr>
        <w:t xml:space="preserve"> en constante évolution et à</w:t>
      </w:r>
      <w:r w:rsidR="00B01838" w:rsidRPr="00632067">
        <w:rPr>
          <w:lang w:val="fr-FR"/>
        </w:rPr>
        <w:t xml:space="preserve"> </w:t>
      </w:r>
      <w:r w:rsidR="00B35F27" w:rsidRPr="00632067">
        <w:rPr>
          <w:lang w:val="fr-FR"/>
        </w:rPr>
        <w:t>effectuer</w:t>
      </w:r>
      <w:r w:rsidR="00B01838" w:rsidRPr="00632067">
        <w:rPr>
          <w:lang w:val="fr-FR"/>
        </w:rPr>
        <w:t xml:space="preserve"> </w:t>
      </w:r>
      <w:r w:rsidR="001C5AE2" w:rsidRPr="00632067">
        <w:rPr>
          <w:lang w:val="fr-FR"/>
        </w:rPr>
        <w:t xml:space="preserve">une analyse des lacunes </w:t>
      </w:r>
      <w:r w:rsidR="00E8026F" w:rsidRPr="00632067">
        <w:rPr>
          <w:lang w:val="fr-FR"/>
        </w:rPr>
        <w:t xml:space="preserve">concernant </w:t>
      </w:r>
      <w:r w:rsidR="00AC26F2" w:rsidRPr="00632067">
        <w:rPr>
          <w:lang w:val="fr-FR"/>
        </w:rPr>
        <w:t>les</w:t>
      </w:r>
      <w:r w:rsidR="003C223D" w:rsidRPr="00632067">
        <w:rPr>
          <w:lang w:val="fr-FR"/>
        </w:rPr>
        <w:t xml:space="preserve"> processus</w:t>
      </w:r>
      <w:r w:rsidR="006E6331" w:rsidRPr="00632067">
        <w:rPr>
          <w:lang w:val="fr-FR"/>
        </w:rPr>
        <w:t xml:space="preserve"> du secteur, le </w:t>
      </w:r>
      <w:r w:rsidR="0031229F" w:rsidRPr="00632067">
        <w:rPr>
          <w:color w:val="000000"/>
          <w:lang w:val="fr-FR"/>
        </w:rPr>
        <w:t>Groupe du Rapporteur du GCNT sur la stratégie en matière de normalisation (RG-StdsStrat)</w:t>
      </w:r>
      <w:r w:rsidR="007E7328" w:rsidRPr="00632067">
        <w:rPr>
          <w:lang w:val="fr-FR"/>
        </w:rPr>
        <w:t xml:space="preserve"> a </w:t>
      </w:r>
      <w:r w:rsidR="00173D26" w:rsidRPr="00632067">
        <w:rPr>
          <w:lang w:val="fr-FR"/>
        </w:rPr>
        <w:t xml:space="preserve">défini </w:t>
      </w:r>
      <w:r w:rsidR="007E7328" w:rsidRPr="00632067">
        <w:rPr>
          <w:lang w:val="fr-FR"/>
        </w:rPr>
        <w:t>des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 xml:space="preserve">paramètres de mesure </w:t>
      </w:r>
      <w:r w:rsidR="00F90AB0" w:rsidRPr="00632067">
        <w:rPr>
          <w:lang w:val="fr-FR"/>
        </w:rPr>
        <w:t>et des critères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pouvant</w:t>
      </w:r>
      <w:r w:rsidR="00B01838" w:rsidRPr="00632067">
        <w:rPr>
          <w:lang w:val="fr-FR"/>
        </w:rPr>
        <w:t xml:space="preserve"> </w:t>
      </w:r>
      <w:r w:rsidR="00F90AB0" w:rsidRPr="00632067">
        <w:rPr>
          <w:lang w:val="fr-FR"/>
        </w:rPr>
        <w:t>être utilisés pour orienter une stratégie</w:t>
      </w:r>
      <w:r w:rsidR="001578E8" w:rsidRPr="00632067">
        <w:rPr>
          <w:lang w:val="fr-FR"/>
        </w:rPr>
        <w:t xml:space="preserve">, par exemple </w:t>
      </w:r>
      <w:r w:rsidR="00643587" w:rsidRPr="00632067">
        <w:rPr>
          <w:lang w:val="fr-FR"/>
        </w:rPr>
        <w:t>l'examen de la</w:t>
      </w:r>
      <w:r w:rsidR="001578E8" w:rsidRPr="00632067">
        <w:rPr>
          <w:lang w:val="fr-FR"/>
        </w:rPr>
        <w:t xml:space="preserve"> </w:t>
      </w:r>
      <w:r w:rsidR="006C6C55" w:rsidRPr="00632067">
        <w:rPr>
          <w:lang w:val="fr-FR"/>
        </w:rPr>
        <w:t>mobilisation</w:t>
      </w:r>
      <w:r w:rsidR="00B01838" w:rsidRPr="00632067">
        <w:rPr>
          <w:lang w:val="fr-FR"/>
        </w:rPr>
        <w:t xml:space="preserve"> </w:t>
      </w:r>
      <w:r w:rsidR="008E337B" w:rsidRPr="00632067">
        <w:rPr>
          <w:lang w:val="fr-FR"/>
        </w:rPr>
        <w:t>du</w:t>
      </w:r>
      <w:r w:rsidR="001578E8" w:rsidRPr="00632067">
        <w:rPr>
          <w:lang w:val="fr-FR"/>
        </w:rPr>
        <w:t xml:space="preserve"> secteur privé </w:t>
      </w:r>
      <w:r w:rsidR="006C6C55" w:rsidRPr="00632067">
        <w:rPr>
          <w:lang w:val="fr-FR"/>
        </w:rPr>
        <w:t>du point de vue des contributions,</w:t>
      </w:r>
      <w:r w:rsidR="00B01838" w:rsidRPr="00632067">
        <w:rPr>
          <w:lang w:val="fr-FR"/>
        </w:rPr>
        <w:t xml:space="preserve"> </w:t>
      </w:r>
      <w:r w:rsidR="002A38D7" w:rsidRPr="00632067">
        <w:rPr>
          <w:lang w:val="fr-FR"/>
        </w:rPr>
        <w:t>de la participation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et</w:t>
      </w:r>
      <w:r w:rsidR="00B01838" w:rsidRPr="00632067">
        <w:rPr>
          <w:lang w:val="fr-FR"/>
        </w:rPr>
        <w:t xml:space="preserve"> </w:t>
      </w:r>
      <w:r w:rsidR="002A38D7" w:rsidRPr="00632067">
        <w:rPr>
          <w:lang w:val="fr-FR"/>
        </w:rPr>
        <w:t>des postes de direction</w:t>
      </w:r>
      <w:r w:rsidR="00C1226B" w:rsidRPr="00632067">
        <w:rPr>
          <w:lang w:val="fr-FR"/>
        </w:rPr>
        <w:t>;</w:t>
      </w:r>
    </w:p>
    <w:p w14:paraId="624B761B" w14:textId="108DA400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c)</w:t>
      </w:r>
      <w:r w:rsidRPr="00632067">
        <w:rPr>
          <w:lang w:val="fr-FR"/>
        </w:rPr>
        <w:tab/>
      </w:r>
      <w:r w:rsidR="00C1226B" w:rsidRPr="00632067">
        <w:rPr>
          <w:lang w:val="fr-FR"/>
        </w:rPr>
        <w:t xml:space="preserve">que, </w:t>
      </w:r>
      <w:r w:rsidR="00B7536A" w:rsidRPr="00632067">
        <w:rPr>
          <w:lang w:val="fr-FR"/>
        </w:rPr>
        <w:t>pour</w:t>
      </w:r>
      <w:r w:rsidR="00A82860" w:rsidRPr="00632067">
        <w:rPr>
          <w:lang w:val="fr-FR"/>
        </w:rPr>
        <w:t xml:space="preserve"> mesurer </w:t>
      </w:r>
      <w:r w:rsidR="00173D26" w:rsidRPr="00632067">
        <w:rPr>
          <w:lang w:val="fr-FR"/>
        </w:rPr>
        <w:t xml:space="preserve">les incidences de </w:t>
      </w:r>
      <w:r w:rsidR="00A82860" w:rsidRPr="00632067">
        <w:rPr>
          <w:lang w:val="fr-FR"/>
        </w:rPr>
        <w:t>la contribution du secteur privé à la réalisation</w:t>
      </w:r>
      <w:r w:rsidR="00B01838" w:rsidRPr="00632067">
        <w:rPr>
          <w:lang w:val="fr-FR"/>
        </w:rPr>
        <w:t xml:space="preserve"> </w:t>
      </w:r>
      <w:r w:rsidR="00A82860" w:rsidRPr="00632067">
        <w:rPr>
          <w:lang w:val="fr-FR"/>
        </w:rPr>
        <w:t xml:space="preserve">des </w:t>
      </w:r>
      <w:r w:rsidR="00C44602" w:rsidRPr="00632067">
        <w:rPr>
          <w:lang w:val="fr-FR"/>
        </w:rPr>
        <w:t>buts</w:t>
      </w:r>
      <w:r w:rsidR="00A82860" w:rsidRPr="00632067">
        <w:rPr>
          <w:lang w:val="fr-FR"/>
        </w:rPr>
        <w:t xml:space="preserve"> stratégiques de l'Union </w:t>
      </w:r>
      <w:r w:rsidR="00173D26" w:rsidRPr="00632067">
        <w:rPr>
          <w:lang w:val="fr-FR"/>
        </w:rPr>
        <w:t xml:space="preserve">dans son ensemble </w:t>
      </w:r>
      <w:r w:rsidR="00A82860" w:rsidRPr="00632067">
        <w:rPr>
          <w:lang w:val="fr-FR"/>
        </w:rPr>
        <w:t xml:space="preserve">dans </w:t>
      </w:r>
      <w:r w:rsidR="00173D26" w:rsidRPr="00632067">
        <w:rPr>
          <w:lang w:val="fr-FR"/>
        </w:rPr>
        <w:t xml:space="preserve">certains </w:t>
      </w:r>
      <w:r w:rsidR="00A82860" w:rsidRPr="00632067">
        <w:rPr>
          <w:lang w:val="fr-FR"/>
        </w:rPr>
        <w:t>domaines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d</w:t>
      </w:r>
      <w:r w:rsidR="00B01838" w:rsidRPr="00632067">
        <w:rPr>
          <w:lang w:val="fr-FR"/>
        </w:rPr>
        <w:t>'</w:t>
      </w:r>
      <w:r w:rsidR="00173D26" w:rsidRPr="00632067">
        <w:rPr>
          <w:lang w:val="fr-FR"/>
        </w:rPr>
        <w:t>activité</w:t>
      </w:r>
      <w:r w:rsidR="00B01838" w:rsidRPr="00632067">
        <w:rPr>
          <w:lang w:val="fr-FR"/>
        </w:rPr>
        <w:t xml:space="preserve"> </w:t>
      </w:r>
      <w:r w:rsidR="00A82860" w:rsidRPr="00632067">
        <w:rPr>
          <w:lang w:val="fr-FR"/>
        </w:rPr>
        <w:t>de l'UIT-T</w:t>
      </w:r>
      <w:r w:rsidR="00932BA1" w:rsidRPr="00632067">
        <w:rPr>
          <w:lang w:val="fr-FR"/>
        </w:rPr>
        <w:t xml:space="preserve"> </w:t>
      </w:r>
      <w:r w:rsidR="00173D26" w:rsidRPr="00632067">
        <w:rPr>
          <w:lang w:val="fr-FR"/>
        </w:rPr>
        <w:t>ayant bénéficié d</w:t>
      </w:r>
      <w:r w:rsidR="00B01838" w:rsidRPr="00632067">
        <w:rPr>
          <w:lang w:val="fr-FR"/>
        </w:rPr>
        <w:t>'</w:t>
      </w:r>
      <w:r w:rsidR="00932BA1" w:rsidRPr="00632067">
        <w:rPr>
          <w:lang w:val="fr-FR"/>
        </w:rPr>
        <w:t xml:space="preserve">une </w:t>
      </w:r>
      <w:r w:rsidR="004436EF" w:rsidRPr="00632067">
        <w:rPr>
          <w:lang w:val="fr-FR"/>
        </w:rPr>
        <w:t xml:space="preserve">forte </w:t>
      </w:r>
      <w:r w:rsidR="00932BA1" w:rsidRPr="00632067">
        <w:rPr>
          <w:lang w:val="fr-FR"/>
        </w:rPr>
        <w:t>valeur ajoutée</w:t>
      </w:r>
      <w:r w:rsidR="00B01838" w:rsidRPr="00632067">
        <w:rPr>
          <w:lang w:val="fr-FR"/>
        </w:rPr>
        <w:t>,</w:t>
      </w:r>
      <w:r w:rsidR="00932BA1" w:rsidRPr="00632067">
        <w:rPr>
          <w:lang w:val="fr-FR"/>
        </w:rPr>
        <w:t xml:space="preserve"> </w:t>
      </w:r>
      <w:r w:rsidR="002A2758" w:rsidRPr="00632067">
        <w:rPr>
          <w:lang w:val="fr-FR"/>
        </w:rPr>
        <w:t xml:space="preserve">des </w:t>
      </w:r>
      <w:r w:rsidR="00932BA1" w:rsidRPr="00632067">
        <w:rPr>
          <w:lang w:val="fr-FR"/>
        </w:rPr>
        <w:t xml:space="preserve">analyses statistiques et </w:t>
      </w:r>
      <w:r w:rsidR="002A2758" w:rsidRPr="00632067">
        <w:rPr>
          <w:lang w:val="fr-FR"/>
        </w:rPr>
        <w:t>des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 xml:space="preserve">paramètres de mesure </w:t>
      </w:r>
      <w:r w:rsidR="002A2758" w:rsidRPr="00632067">
        <w:rPr>
          <w:lang w:val="fr-FR"/>
        </w:rPr>
        <w:t>peuvent être utilisés pour suivre et évaluer l</w:t>
      </w:r>
      <w:r w:rsidR="0092216F" w:rsidRPr="00632067">
        <w:rPr>
          <w:lang w:val="fr-FR"/>
        </w:rPr>
        <w:t xml:space="preserve">'état d'avancement des travaux menés au sein de différentes </w:t>
      </w:r>
      <w:r w:rsidR="00632067" w:rsidRPr="00632067">
        <w:rPr>
          <w:lang w:val="fr-FR"/>
        </w:rPr>
        <w:t>C</w:t>
      </w:r>
      <w:r w:rsidR="00173D26" w:rsidRPr="00632067">
        <w:rPr>
          <w:lang w:val="fr-FR"/>
        </w:rPr>
        <w:t xml:space="preserve">ommissions </w:t>
      </w:r>
      <w:r w:rsidR="0092216F" w:rsidRPr="00632067">
        <w:rPr>
          <w:lang w:val="fr-FR"/>
        </w:rPr>
        <w:t>d'études de l'UIT-T;</w:t>
      </w:r>
    </w:p>
    <w:p w14:paraId="03FECF44" w14:textId="7DD8334F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d)</w:t>
      </w:r>
      <w:r w:rsidRPr="00632067">
        <w:rPr>
          <w:lang w:val="fr-FR"/>
        </w:rPr>
        <w:tab/>
      </w:r>
      <w:r w:rsidR="0092216F" w:rsidRPr="00632067">
        <w:rPr>
          <w:lang w:val="fr-FR"/>
        </w:rPr>
        <w:t xml:space="preserve">que ces analyses peuvent être exploitées </w:t>
      </w:r>
      <w:r w:rsidR="00383F3A" w:rsidRPr="00632067">
        <w:rPr>
          <w:lang w:val="fr-FR"/>
        </w:rPr>
        <w:t>de façon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que</w:t>
      </w:r>
      <w:r w:rsidR="00B01838" w:rsidRPr="00632067">
        <w:rPr>
          <w:lang w:val="fr-FR"/>
        </w:rPr>
        <w:t xml:space="preserve"> </w:t>
      </w:r>
      <w:r w:rsidR="00AD6E73" w:rsidRPr="00632067">
        <w:rPr>
          <w:lang w:val="fr-FR"/>
        </w:rPr>
        <w:t xml:space="preserve">les ressources </w:t>
      </w:r>
      <w:r w:rsidR="00173D26" w:rsidRPr="00632067">
        <w:rPr>
          <w:lang w:val="fr-FR"/>
        </w:rPr>
        <w:t xml:space="preserve">soient axées </w:t>
      </w:r>
      <w:r w:rsidR="00AD6E73" w:rsidRPr="00632067">
        <w:rPr>
          <w:lang w:val="fr-FR"/>
        </w:rPr>
        <w:t xml:space="preserve">sur </w:t>
      </w:r>
      <w:r w:rsidR="00D83C0D" w:rsidRPr="00632067">
        <w:rPr>
          <w:lang w:val="fr-FR"/>
        </w:rPr>
        <w:t>le</w:t>
      </w:r>
      <w:r w:rsidR="00AD6E73" w:rsidRPr="00632067">
        <w:rPr>
          <w:lang w:val="fr-FR"/>
        </w:rPr>
        <w:t>s activités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ayant</w:t>
      </w:r>
      <w:r w:rsidR="00B01838" w:rsidRPr="00632067">
        <w:rPr>
          <w:lang w:val="fr-FR"/>
        </w:rPr>
        <w:t xml:space="preserve"> </w:t>
      </w:r>
      <w:r w:rsidR="004D7E38" w:rsidRPr="00632067">
        <w:rPr>
          <w:lang w:val="fr-FR"/>
        </w:rPr>
        <w:t>un rang de priorité élevé</w:t>
      </w:r>
      <w:r w:rsidR="00AD6E73" w:rsidRPr="00632067">
        <w:rPr>
          <w:lang w:val="fr-FR"/>
        </w:rPr>
        <w:t xml:space="preserve">; </w:t>
      </w:r>
    </w:p>
    <w:p w14:paraId="616214EE" w14:textId="3C974C53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e)</w:t>
      </w:r>
      <w:r w:rsidRPr="00632067">
        <w:rPr>
          <w:lang w:val="fr-FR"/>
        </w:rPr>
        <w:tab/>
      </w:r>
      <w:r w:rsidR="004D7E38" w:rsidRPr="00632067">
        <w:rPr>
          <w:lang w:val="fr-FR"/>
        </w:rPr>
        <w:t xml:space="preserve">qu'il ressort des </w:t>
      </w:r>
      <w:r w:rsidR="00173D26" w:rsidRPr="00632067">
        <w:rPr>
          <w:lang w:val="fr-FR"/>
        </w:rPr>
        <w:t>paramètres de mesure</w:t>
      </w:r>
      <w:r w:rsidR="00B01838" w:rsidRPr="00632067">
        <w:rPr>
          <w:lang w:val="fr-FR"/>
        </w:rPr>
        <w:t xml:space="preserve"> </w:t>
      </w:r>
      <w:r w:rsidR="004D7E38" w:rsidRPr="00632067">
        <w:rPr>
          <w:lang w:val="fr-FR"/>
        </w:rPr>
        <w:t xml:space="preserve">et des corrélations que la participation du secteur privé </w:t>
      </w:r>
      <w:r w:rsidR="00FB1B45" w:rsidRPr="00632067">
        <w:rPr>
          <w:lang w:val="fr-FR"/>
        </w:rPr>
        <w:t>a</w:t>
      </w:r>
      <w:r w:rsidR="004D7E38" w:rsidRPr="00632067">
        <w:rPr>
          <w:lang w:val="fr-FR"/>
        </w:rPr>
        <w:t xml:space="preserve"> des effets </w:t>
      </w:r>
      <w:r w:rsidR="00C65143" w:rsidRPr="00632067">
        <w:rPr>
          <w:lang w:val="fr-FR"/>
        </w:rPr>
        <w:t xml:space="preserve">évidents sur la valeur </w:t>
      </w:r>
      <w:r w:rsidR="00173D26" w:rsidRPr="00632067">
        <w:rPr>
          <w:lang w:val="fr-FR"/>
        </w:rPr>
        <w:t>des</w:t>
      </w:r>
      <w:r w:rsidR="00C65143" w:rsidRPr="00632067">
        <w:rPr>
          <w:lang w:val="fr-FR"/>
        </w:rPr>
        <w:t xml:space="preserve"> Recommandations </w:t>
      </w:r>
      <w:r w:rsidR="00173D26" w:rsidRPr="00632067">
        <w:rPr>
          <w:lang w:val="fr-FR"/>
        </w:rPr>
        <w:t>de l</w:t>
      </w:r>
      <w:r w:rsidR="00B01838" w:rsidRPr="00632067">
        <w:rPr>
          <w:lang w:val="fr-FR"/>
        </w:rPr>
        <w:t>'</w:t>
      </w:r>
      <w:r w:rsidR="00C65143" w:rsidRPr="00632067">
        <w:rPr>
          <w:lang w:val="fr-FR"/>
        </w:rPr>
        <w:t>UIT-T sur le marché;</w:t>
      </w:r>
    </w:p>
    <w:p w14:paraId="0AC9D544" w14:textId="034651E6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f)</w:t>
      </w:r>
      <w:r w:rsidRPr="00632067">
        <w:rPr>
          <w:lang w:val="fr-FR"/>
        </w:rPr>
        <w:tab/>
      </w:r>
      <w:r w:rsidR="0011336E" w:rsidRPr="00632067">
        <w:rPr>
          <w:lang w:val="fr-FR"/>
        </w:rPr>
        <w:t>que</w:t>
      </w:r>
      <w:r w:rsidR="00203880" w:rsidRPr="00632067">
        <w:rPr>
          <w:lang w:val="fr-FR"/>
        </w:rPr>
        <w:t xml:space="preserve"> d'autres organismes de </w:t>
      </w:r>
      <w:r w:rsidR="00D4480B" w:rsidRPr="00632067">
        <w:rPr>
          <w:lang w:val="fr-FR"/>
        </w:rPr>
        <w:t>normalisation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 xml:space="preserve">importants </w:t>
      </w:r>
      <w:r w:rsidR="0011336E" w:rsidRPr="00632067">
        <w:rPr>
          <w:lang w:val="fr-FR"/>
        </w:rPr>
        <w:t>mènent</w:t>
      </w:r>
      <w:r w:rsidR="00181E01" w:rsidRPr="00632067">
        <w:rPr>
          <w:lang w:val="fr-FR"/>
        </w:rPr>
        <w:t xml:space="preserve"> des travaux dans des domaines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 xml:space="preserve">analogues </w:t>
      </w:r>
      <w:r w:rsidR="00181E01" w:rsidRPr="00632067">
        <w:rPr>
          <w:lang w:val="fr-FR"/>
        </w:rPr>
        <w:t>et que les</w:t>
      </w:r>
      <w:r w:rsidR="00B01838" w:rsidRPr="00632067">
        <w:rPr>
          <w:lang w:val="fr-FR"/>
        </w:rPr>
        <w:t xml:space="preserve"> </w:t>
      </w:r>
      <w:r w:rsidR="00173D26" w:rsidRPr="00632067">
        <w:rPr>
          <w:lang w:val="fr-FR"/>
        </w:rPr>
        <w:t>participants</w:t>
      </w:r>
      <w:r w:rsidR="00B01838" w:rsidRPr="00632067">
        <w:rPr>
          <w:lang w:val="fr-FR"/>
        </w:rPr>
        <w:t xml:space="preserve"> </w:t>
      </w:r>
      <w:r w:rsidR="00181E01" w:rsidRPr="00632067">
        <w:rPr>
          <w:lang w:val="fr-FR"/>
        </w:rPr>
        <w:t xml:space="preserve">du secteur privé </w:t>
      </w:r>
      <w:r w:rsidR="00A61116" w:rsidRPr="00632067">
        <w:rPr>
          <w:lang w:val="fr-FR"/>
        </w:rPr>
        <w:t>consacrent déjà des ressources à ces organismes;</w:t>
      </w:r>
    </w:p>
    <w:p w14:paraId="7C074D45" w14:textId="515EBCC6" w:rsidR="005F5932" w:rsidRPr="00632067" w:rsidRDefault="005F5932" w:rsidP="00B01838">
      <w:pPr>
        <w:rPr>
          <w:lang w:val="fr-FR"/>
        </w:rPr>
      </w:pPr>
      <w:r w:rsidRPr="00632067">
        <w:rPr>
          <w:i/>
          <w:iCs/>
          <w:lang w:val="fr-FR"/>
        </w:rPr>
        <w:t>g)</w:t>
      </w:r>
      <w:r w:rsidRPr="00632067">
        <w:rPr>
          <w:lang w:val="fr-FR"/>
        </w:rPr>
        <w:tab/>
      </w:r>
      <w:r w:rsidR="00A61116" w:rsidRPr="00632067">
        <w:rPr>
          <w:lang w:val="fr-FR"/>
        </w:rPr>
        <w:t xml:space="preserve">qu'il faut </w:t>
      </w:r>
      <w:r w:rsidR="00470EE3" w:rsidRPr="00632067">
        <w:rPr>
          <w:lang w:val="fr-FR"/>
        </w:rPr>
        <w:t>éviter</w:t>
      </w:r>
      <w:r w:rsidR="00A61116" w:rsidRPr="00632067">
        <w:rPr>
          <w:lang w:val="fr-FR"/>
        </w:rPr>
        <w:t xml:space="preserve"> </w:t>
      </w:r>
      <w:r w:rsidR="0068043A" w:rsidRPr="00632067">
        <w:rPr>
          <w:lang w:val="fr-FR"/>
        </w:rPr>
        <w:t xml:space="preserve">autant que </w:t>
      </w:r>
      <w:r w:rsidR="00BF28E9" w:rsidRPr="00632067">
        <w:rPr>
          <w:lang w:val="fr-FR"/>
        </w:rPr>
        <w:t>possible tout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chevauchement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d'activités</w:t>
      </w:r>
      <w:r w:rsidR="0068043A" w:rsidRPr="00632067">
        <w:rPr>
          <w:lang w:val="fr-FR"/>
        </w:rPr>
        <w:t xml:space="preserve"> (</w:t>
      </w:r>
      <w:r w:rsidR="000271D6" w:rsidRPr="00632067">
        <w:rPr>
          <w:lang w:val="fr-FR"/>
        </w:rPr>
        <w:t>des</w:t>
      </w:r>
      <w:r w:rsidR="00BF28E9" w:rsidRPr="00632067">
        <w:rPr>
          <w:lang w:val="fr-FR"/>
        </w:rPr>
        <w:t xml:space="preserve"> chevauchements sont possibles</w:t>
      </w:r>
      <w:r w:rsidR="000271D6" w:rsidRPr="00632067">
        <w:rPr>
          <w:lang w:val="fr-FR"/>
        </w:rPr>
        <w:t xml:space="preserve"> </w:t>
      </w:r>
      <w:r w:rsidR="00BF28E9" w:rsidRPr="00632067">
        <w:rPr>
          <w:lang w:val="fr-FR"/>
        </w:rPr>
        <w:t>en raison de la complexité</w:t>
      </w:r>
      <w:r w:rsidR="000271D6" w:rsidRPr="00632067">
        <w:rPr>
          <w:lang w:val="fr-FR"/>
        </w:rPr>
        <w:t xml:space="preserve"> des </w:t>
      </w:r>
      <w:r w:rsidR="00BF28E9" w:rsidRPr="00632067">
        <w:rPr>
          <w:lang w:val="fr-FR"/>
        </w:rPr>
        <w:t>questions relatives</w:t>
      </w:r>
      <w:r w:rsidR="00B01838" w:rsidRPr="00632067">
        <w:rPr>
          <w:lang w:val="fr-FR"/>
        </w:rPr>
        <w:t xml:space="preserve"> </w:t>
      </w:r>
      <w:r w:rsidR="000271D6" w:rsidRPr="00632067">
        <w:rPr>
          <w:lang w:val="fr-FR"/>
        </w:rPr>
        <w:t>aux TIC</w:t>
      </w:r>
      <w:r w:rsidRPr="00632067">
        <w:rPr>
          <w:lang w:val="fr-FR"/>
        </w:rPr>
        <w:t>)</w:t>
      </w:r>
      <w:r w:rsidR="00B03894" w:rsidRPr="00632067">
        <w:rPr>
          <w:lang w:val="fr-FR"/>
        </w:rPr>
        <w:t>,</w:t>
      </w:r>
    </w:p>
    <w:p w14:paraId="3F2C396A" w14:textId="0FAFE4B6" w:rsidR="005F5932" w:rsidRPr="00632067" w:rsidRDefault="005F5932" w:rsidP="00B01838">
      <w:pPr>
        <w:pStyle w:val="Call"/>
        <w:rPr>
          <w:lang w:val="fr-FR"/>
        </w:rPr>
      </w:pPr>
      <w:r w:rsidRPr="00632067">
        <w:rPr>
          <w:lang w:val="fr-FR"/>
        </w:rPr>
        <w:lastRenderedPageBreak/>
        <w:t>not</w:t>
      </w:r>
      <w:r w:rsidR="00C7274B" w:rsidRPr="00632067">
        <w:rPr>
          <w:lang w:val="fr-FR"/>
        </w:rPr>
        <w:t>ant</w:t>
      </w:r>
    </w:p>
    <w:p w14:paraId="1EA38056" w14:textId="10D01B33" w:rsidR="005F5932" w:rsidRPr="00632067" w:rsidRDefault="004F7748" w:rsidP="00B01838">
      <w:pPr>
        <w:rPr>
          <w:lang w:val="fr-FR"/>
        </w:rPr>
      </w:pPr>
      <w:r w:rsidRPr="00632067">
        <w:rPr>
          <w:lang w:val="fr-FR"/>
        </w:rPr>
        <w:t xml:space="preserve">que </w:t>
      </w:r>
      <w:r w:rsidR="00FC525B" w:rsidRPr="00632067">
        <w:rPr>
          <w:lang w:val="fr-FR"/>
        </w:rPr>
        <w:t>c</w:t>
      </w:r>
      <w:r w:rsidRPr="00632067">
        <w:rPr>
          <w:lang w:val="fr-FR"/>
        </w:rPr>
        <w:t xml:space="preserve">es </w:t>
      </w:r>
      <w:r w:rsidR="009A661D" w:rsidRPr="00632067">
        <w:rPr>
          <w:lang w:val="fr-FR"/>
        </w:rPr>
        <w:t xml:space="preserve">analyses </w:t>
      </w:r>
      <w:r w:rsidRPr="00632067">
        <w:rPr>
          <w:lang w:val="fr-FR"/>
        </w:rPr>
        <w:t xml:space="preserve">fondées sur des données seront essentielles pour </w:t>
      </w:r>
      <w:r w:rsidR="00AD6E5A" w:rsidRPr="00632067">
        <w:rPr>
          <w:lang w:val="fr-FR"/>
        </w:rPr>
        <w:t>formuler</w:t>
      </w:r>
      <w:r w:rsidRPr="00632067">
        <w:rPr>
          <w:lang w:val="fr-FR"/>
        </w:rPr>
        <w:t xml:space="preserve"> une stratégie</w:t>
      </w:r>
      <w:r w:rsidR="0044680F" w:rsidRPr="00632067">
        <w:rPr>
          <w:lang w:val="fr-FR"/>
        </w:rPr>
        <w:t xml:space="preserve"> visant à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faire en sorte que</w:t>
      </w:r>
      <w:r w:rsidR="00B01838" w:rsidRPr="00632067">
        <w:rPr>
          <w:lang w:val="fr-FR"/>
        </w:rPr>
        <w:t xml:space="preserve"> </w:t>
      </w:r>
      <w:r w:rsidR="0044680F" w:rsidRPr="00632067">
        <w:rPr>
          <w:lang w:val="fr-FR"/>
        </w:rPr>
        <w:t xml:space="preserve">la structure de l'UIT-T </w:t>
      </w:r>
      <w:r w:rsidR="00BF28E9" w:rsidRPr="00632067">
        <w:rPr>
          <w:lang w:val="fr-FR"/>
        </w:rPr>
        <w:t xml:space="preserve">soit optimisée </w:t>
      </w:r>
      <w:r w:rsidR="003A28DE" w:rsidRPr="00632067">
        <w:rPr>
          <w:lang w:val="fr-FR"/>
        </w:rPr>
        <w:t xml:space="preserve">pour les </w:t>
      </w:r>
      <w:r w:rsidR="0044680F" w:rsidRPr="00632067">
        <w:rPr>
          <w:lang w:val="fr-FR"/>
        </w:rPr>
        <w:t xml:space="preserve">travaux actuels et </w:t>
      </w:r>
      <w:r w:rsidR="00BF28E9" w:rsidRPr="00632067">
        <w:rPr>
          <w:lang w:val="fr-FR"/>
        </w:rPr>
        <w:t xml:space="preserve">les </w:t>
      </w:r>
      <w:r w:rsidR="0044680F" w:rsidRPr="00632067">
        <w:rPr>
          <w:lang w:val="fr-FR"/>
        </w:rPr>
        <w:t>nouveaux</w:t>
      </w:r>
      <w:r w:rsidR="00BF28E9" w:rsidRPr="00632067">
        <w:rPr>
          <w:lang w:val="fr-FR"/>
        </w:rPr>
        <w:t xml:space="preserve"> travaux</w:t>
      </w:r>
      <w:r w:rsidR="0044680F" w:rsidRPr="00632067">
        <w:rPr>
          <w:lang w:val="fr-FR"/>
        </w:rPr>
        <w:t>,</w:t>
      </w:r>
    </w:p>
    <w:p w14:paraId="017F1B25" w14:textId="56E11CB6" w:rsidR="005F5932" w:rsidRPr="00632067" w:rsidRDefault="00560494" w:rsidP="00B01838">
      <w:pPr>
        <w:pStyle w:val="Call"/>
        <w:rPr>
          <w:lang w:val="fr-FR"/>
        </w:rPr>
      </w:pPr>
      <w:r w:rsidRPr="00632067">
        <w:rPr>
          <w:lang w:val="fr-FR"/>
        </w:rPr>
        <w:t>décide</w:t>
      </w:r>
    </w:p>
    <w:p w14:paraId="0440FAE4" w14:textId="517E4C15" w:rsidR="005F5932" w:rsidRPr="00632067" w:rsidRDefault="00B91523" w:rsidP="00B01838">
      <w:pPr>
        <w:rPr>
          <w:lang w:val="fr-FR"/>
        </w:rPr>
      </w:pPr>
      <w:r w:rsidRPr="00632067">
        <w:rPr>
          <w:lang w:val="fr-FR"/>
        </w:rPr>
        <w:t>que, dans le cadre du mandat, du rôle et des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 xml:space="preserve">responsabilités </w:t>
      </w:r>
      <w:r w:rsidRPr="00632067">
        <w:rPr>
          <w:lang w:val="fr-FR"/>
        </w:rPr>
        <w:t xml:space="preserve">de </w:t>
      </w:r>
      <w:r w:rsidR="00F42C1D" w:rsidRPr="00632067">
        <w:rPr>
          <w:lang w:val="fr-FR"/>
        </w:rPr>
        <w:t>l'AMNT</w:t>
      </w:r>
      <w:r w:rsidRPr="00632067">
        <w:rPr>
          <w:lang w:val="fr-FR"/>
        </w:rPr>
        <w:t xml:space="preserve">, </w:t>
      </w:r>
      <w:r w:rsidR="00BF28E9" w:rsidRPr="00632067">
        <w:rPr>
          <w:lang w:val="fr-FR"/>
        </w:rPr>
        <w:t>en tant que</w:t>
      </w:r>
      <w:r w:rsidR="00B01838" w:rsidRPr="00632067">
        <w:rPr>
          <w:lang w:val="fr-FR"/>
        </w:rPr>
        <w:t xml:space="preserve"> </w:t>
      </w:r>
      <w:r w:rsidR="00D54782" w:rsidRPr="00632067">
        <w:rPr>
          <w:lang w:val="fr-FR"/>
        </w:rPr>
        <w:t>vaste tribune ouverte à tous dans le cadre de laquelle</w:t>
      </w:r>
      <w:r w:rsidR="00CA6706" w:rsidRPr="00632067">
        <w:rPr>
          <w:lang w:val="fr-FR"/>
        </w:rPr>
        <w:t xml:space="preserve"> les </w:t>
      </w:r>
      <w:r w:rsidR="003A5F4F" w:rsidRPr="00632067">
        <w:rPr>
          <w:color w:val="000000"/>
          <w:lang w:val="fr-FR"/>
        </w:rPr>
        <w:t>É</w:t>
      </w:r>
      <w:r w:rsidR="00CA6706" w:rsidRPr="00632067">
        <w:rPr>
          <w:lang w:val="fr-FR"/>
        </w:rPr>
        <w:t xml:space="preserve">tats Membres et les Membres du Secteur de l'UIT-T </w:t>
      </w:r>
      <w:r w:rsidR="009D3049" w:rsidRPr="00632067">
        <w:rPr>
          <w:lang w:val="fr-FR"/>
        </w:rPr>
        <w:t>peuvent débattre de l'avenir de l'UIT-T</w:t>
      </w:r>
      <w:r w:rsidR="00475D3D" w:rsidRPr="00632067">
        <w:rPr>
          <w:lang w:val="fr-FR"/>
        </w:rPr>
        <w:t xml:space="preserve">, </w:t>
      </w:r>
      <w:r w:rsidR="00C63D25" w:rsidRPr="00632067">
        <w:rPr>
          <w:lang w:val="fr-FR"/>
        </w:rPr>
        <w:t>étudier</w:t>
      </w:r>
      <w:r w:rsidR="009D3049" w:rsidRPr="00632067">
        <w:rPr>
          <w:lang w:val="fr-FR"/>
        </w:rPr>
        <w:t xml:space="preserve"> </w:t>
      </w:r>
      <w:r w:rsidR="00475D3D" w:rsidRPr="00632067">
        <w:rPr>
          <w:lang w:val="fr-FR"/>
        </w:rPr>
        <w:t xml:space="preserve">la structure et </w:t>
      </w:r>
      <w:r w:rsidR="00C63D25" w:rsidRPr="00632067">
        <w:rPr>
          <w:lang w:val="fr-FR"/>
        </w:rPr>
        <w:t xml:space="preserve">le </w:t>
      </w:r>
      <w:r w:rsidR="00475D3D" w:rsidRPr="00632067">
        <w:rPr>
          <w:lang w:val="fr-FR"/>
        </w:rPr>
        <w:t xml:space="preserve">fonctionnement du Secteur </w:t>
      </w:r>
      <w:r w:rsidR="00C63D25" w:rsidRPr="00632067">
        <w:rPr>
          <w:lang w:val="fr-FR"/>
        </w:rPr>
        <w:t xml:space="preserve">dans leur ensemble </w:t>
      </w:r>
      <w:r w:rsidR="00475D3D" w:rsidRPr="00632067">
        <w:rPr>
          <w:lang w:val="fr-FR"/>
        </w:rPr>
        <w:t>et fixer des objectifs pour l'UIT-T,</w:t>
      </w:r>
      <w:r w:rsidR="00B01838" w:rsidRPr="00632067">
        <w:rPr>
          <w:lang w:val="fr-FR"/>
        </w:rPr>
        <w:t xml:space="preserve"> </w:t>
      </w:r>
      <w:r w:rsidR="0077341D" w:rsidRPr="00632067">
        <w:rPr>
          <w:lang w:val="fr-FR"/>
        </w:rPr>
        <w:t xml:space="preserve">la mobilisation et la participation du secteur privé </w:t>
      </w:r>
      <w:r w:rsidR="00BF28E9" w:rsidRPr="00632067">
        <w:rPr>
          <w:lang w:val="fr-FR"/>
        </w:rPr>
        <w:t>devront être renforcées</w:t>
      </w:r>
      <w:r w:rsidR="00BF28E9" w:rsidRPr="00632067">
        <w:rPr>
          <w:color w:val="000000"/>
          <w:lang w:val="fr-FR"/>
        </w:rPr>
        <w:t xml:space="preserve"> grâce à la mise</w:t>
      </w:r>
      <w:r w:rsidR="00B01838" w:rsidRPr="00632067">
        <w:rPr>
          <w:lang w:val="fr-FR"/>
        </w:rPr>
        <w:t xml:space="preserve"> </w:t>
      </w:r>
      <w:r w:rsidR="002F73E1" w:rsidRPr="00632067">
        <w:rPr>
          <w:lang w:val="fr-FR"/>
        </w:rPr>
        <w:t>en</w:t>
      </w:r>
      <w:r w:rsidR="0077341D" w:rsidRPr="00632067">
        <w:rPr>
          <w:lang w:val="fr-FR"/>
        </w:rPr>
        <w:t xml:space="preserve"> œuvre </w:t>
      </w:r>
      <w:r w:rsidR="00BF28E9" w:rsidRPr="00632067">
        <w:rPr>
          <w:lang w:val="fr-FR"/>
        </w:rPr>
        <w:t>de</w:t>
      </w:r>
      <w:r w:rsidR="00B01838" w:rsidRPr="00632067">
        <w:rPr>
          <w:lang w:val="fr-FR"/>
        </w:rPr>
        <w:t xml:space="preserve"> </w:t>
      </w:r>
      <w:r w:rsidR="0077341D" w:rsidRPr="00632067">
        <w:rPr>
          <w:lang w:val="fr-FR"/>
        </w:rPr>
        <w:t>mesures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destinées</w:t>
      </w:r>
      <w:r w:rsidR="00B01838" w:rsidRPr="00632067">
        <w:rPr>
          <w:lang w:val="fr-FR"/>
        </w:rPr>
        <w:t xml:space="preserve"> </w:t>
      </w:r>
      <w:r w:rsidR="00796ABD" w:rsidRPr="00632067">
        <w:rPr>
          <w:lang w:val="fr-FR"/>
        </w:rPr>
        <w:t>notamment, mais non exclusivement:</w:t>
      </w:r>
    </w:p>
    <w:p w14:paraId="4BE5A2E4" w14:textId="7958D06C" w:rsidR="005F5932" w:rsidRPr="00632067" w:rsidRDefault="005F5932" w:rsidP="00B01838">
      <w:pPr>
        <w:rPr>
          <w:lang w:val="fr-FR"/>
        </w:rPr>
      </w:pPr>
      <w:r w:rsidRPr="00632067">
        <w:rPr>
          <w:lang w:val="fr-FR"/>
        </w:rPr>
        <w:t>1</w:t>
      </w:r>
      <w:r w:rsidRPr="00632067">
        <w:rPr>
          <w:lang w:val="fr-FR"/>
        </w:rPr>
        <w:tab/>
      </w:r>
      <w:r w:rsidR="00796ABD" w:rsidRPr="00632067">
        <w:rPr>
          <w:lang w:val="fr-FR"/>
        </w:rPr>
        <w:t xml:space="preserve">à </w:t>
      </w:r>
      <w:r w:rsidR="00BF28E9" w:rsidRPr="00632067">
        <w:rPr>
          <w:lang w:val="fr-FR"/>
        </w:rPr>
        <w:t xml:space="preserve">faire en sorte </w:t>
      </w:r>
      <w:r w:rsidR="00796ABD" w:rsidRPr="00632067">
        <w:rPr>
          <w:lang w:val="fr-FR"/>
        </w:rPr>
        <w:t>que les Membres de Secteur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puissent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participer à l</w:t>
      </w:r>
      <w:r w:rsidR="00B01838" w:rsidRPr="00632067">
        <w:rPr>
          <w:lang w:val="fr-FR"/>
        </w:rPr>
        <w:t>'</w:t>
      </w:r>
      <w:r w:rsidR="00BF28E9" w:rsidRPr="00632067">
        <w:rPr>
          <w:lang w:val="fr-FR"/>
        </w:rPr>
        <w:t>examen de</w:t>
      </w:r>
      <w:r w:rsidR="00B01838" w:rsidRPr="00632067">
        <w:rPr>
          <w:lang w:val="fr-FR"/>
        </w:rPr>
        <w:t xml:space="preserve"> </w:t>
      </w:r>
      <w:r w:rsidR="00796ABD" w:rsidRPr="00632067">
        <w:rPr>
          <w:lang w:val="fr-FR"/>
        </w:rPr>
        <w:t>toutes</w:t>
      </w:r>
      <w:r w:rsidR="00450E6C" w:rsidRPr="00632067">
        <w:rPr>
          <w:lang w:val="fr-FR"/>
        </w:rPr>
        <w:t xml:space="preserve"> les questions mondiales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 xml:space="preserve">ou </w:t>
      </w:r>
      <w:r w:rsidR="00450E6C" w:rsidRPr="00632067">
        <w:rPr>
          <w:lang w:val="fr-FR"/>
        </w:rPr>
        <w:t xml:space="preserve">régionales </w:t>
      </w:r>
      <w:r w:rsidR="00BF28E9" w:rsidRPr="00632067">
        <w:rPr>
          <w:lang w:val="fr-FR"/>
        </w:rPr>
        <w:t>relevant</w:t>
      </w:r>
      <w:r w:rsidR="00B01838" w:rsidRPr="00632067">
        <w:rPr>
          <w:lang w:val="fr-FR"/>
        </w:rPr>
        <w:t xml:space="preserve"> </w:t>
      </w:r>
      <w:r w:rsidR="00450E6C" w:rsidRPr="00632067">
        <w:rPr>
          <w:lang w:val="fr-FR"/>
        </w:rPr>
        <w:t xml:space="preserve">de la compétence de l'UIT-T, y compris de l'AMNT, conformément aux conditions énoncées dans les dispositions pertinentes de </w:t>
      </w:r>
      <w:r w:rsidR="00BF28E9" w:rsidRPr="00632067">
        <w:rPr>
          <w:lang w:val="fr-FR"/>
        </w:rPr>
        <w:t xml:space="preserve">l'article </w:t>
      </w:r>
      <w:r w:rsidR="00450E6C" w:rsidRPr="00632067">
        <w:rPr>
          <w:lang w:val="fr-FR"/>
        </w:rPr>
        <w:t>3 de la Constitution et de la Résolution 14 de la Conférence de plénipotentiaires, comme indiqué</w:t>
      </w:r>
      <w:r w:rsidR="00B01838" w:rsidRPr="00632067">
        <w:rPr>
          <w:lang w:val="fr-FR"/>
        </w:rPr>
        <w:t xml:space="preserve"> </w:t>
      </w:r>
      <w:r w:rsidR="00BF28E9" w:rsidRPr="00632067">
        <w:rPr>
          <w:lang w:val="fr-FR"/>
        </w:rPr>
        <w:t>ci-dessus</w:t>
      </w:r>
      <w:r w:rsidR="00450E6C" w:rsidRPr="00632067">
        <w:rPr>
          <w:lang w:val="fr-FR"/>
        </w:rPr>
        <w:t>;</w:t>
      </w:r>
      <w:r w:rsidR="00B01838" w:rsidRPr="00632067">
        <w:rPr>
          <w:lang w:val="fr-FR"/>
        </w:rPr>
        <w:t xml:space="preserve"> </w:t>
      </w:r>
    </w:p>
    <w:p w14:paraId="43A6F4A7" w14:textId="4CC8237D" w:rsidR="005F5932" w:rsidRPr="00632067" w:rsidRDefault="005F5932" w:rsidP="00B01838">
      <w:pPr>
        <w:rPr>
          <w:lang w:val="fr-FR"/>
        </w:rPr>
      </w:pPr>
      <w:r w:rsidRPr="00632067">
        <w:rPr>
          <w:lang w:val="fr-FR"/>
        </w:rPr>
        <w:t>2</w:t>
      </w:r>
      <w:r w:rsidRPr="00632067">
        <w:rPr>
          <w:lang w:val="fr-FR"/>
        </w:rPr>
        <w:tab/>
      </w:r>
      <w:r w:rsidR="00450E6C" w:rsidRPr="00632067">
        <w:rPr>
          <w:lang w:val="fr-FR"/>
        </w:rPr>
        <w:t xml:space="preserve">à reconnaître que la mobilisation et la participation </w:t>
      </w:r>
      <w:r w:rsidR="00A32E5B" w:rsidRPr="00632067">
        <w:rPr>
          <w:lang w:val="fr-FR"/>
        </w:rPr>
        <w:t>des acteurs du</w:t>
      </w:r>
      <w:r w:rsidR="00450E6C" w:rsidRPr="00632067">
        <w:rPr>
          <w:lang w:val="fr-FR"/>
        </w:rPr>
        <w:t xml:space="preserve"> secteur privé </w:t>
      </w:r>
      <w:r w:rsidR="00CC72A1" w:rsidRPr="00632067">
        <w:rPr>
          <w:lang w:val="fr-FR"/>
        </w:rPr>
        <w:t>aux postes de direction dans des domaines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où les compétences</w:t>
      </w:r>
      <w:r w:rsidR="00B01838" w:rsidRPr="00632067">
        <w:rPr>
          <w:lang w:val="fr-FR"/>
        </w:rPr>
        <w:t xml:space="preserve"> </w:t>
      </w:r>
      <w:r w:rsidR="00CC72A1" w:rsidRPr="00632067">
        <w:rPr>
          <w:lang w:val="fr-FR"/>
        </w:rPr>
        <w:t xml:space="preserve">techniques </w:t>
      </w:r>
      <w:r w:rsidR="007A05F0" w:rsidRPr="00632067">
        <w:rPr>
          <w:lang w:val="fr-FR"/>
        </w:rPr>
        <w:t xml:space="preserve">sont indispensables </w:t>
      </w:r>
      <w:r w:rsidR="008E4EC4" w:rsidRPr="00632067">
        <w:rPr>
          <w:lang w:val="fr-FR"/>
        </w:rPr>
        <w:t>sont un facteur essentiel à la pérennité de l'UIT-T dans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l</w:t>
      </w:r>
      <w:r w:rsidR="00B01838" w:rsidRPr="00632067">
        <w:rPr>
          <w:lang w:val="fr-FR"/>
        </w:rPr>
        <w:t>'</w:t>
      </w:r>
      <w:r w:rsidR="008E4EC4" w:rsidRPr="00632067">
        <w:rPr>
          <w:lang w:val="fr-FR"/>
        </w:rPr>
        <w:t xml:space="preserve">écosystème </w:t>
      </w:r>
      <w:r w:rsidR="00C453D9" w:rsidRPr="00632067">
        <w:rPr>
          <w:lang w:val="fr-FR"/>
        </w:rPr>
        <w:t>particulièrement concurrentiel et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diversifié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de la normalisation</w:t>
      </w:r>
      <w:r w:rsidR="00085A81" w:rsidRPr="00632067">
        <w:rPr>
          <w:lang w:val="fr-FR"/>
        </w:rPr>
        <w:t>,</w:t>
      </w:r>
    </w:p>
    <w:p w14:paraId="770493DD" w14:textId="0BE69B7B" w:rsidR="005F5932" w:rsidRPr="00632067" w:rsidRDefault="00C453D9" w:rsidP="00B01838">
      <w:pPr>
        <w:pStyle w:val="Call"/>
        <w:rPr>
          <w:lang w:val="fr-FR"/>
        </w:rPr>
      </w:pPr>
      <w:r w:rsidRPr="00632067">
        <w:rPr>
          <w:lang w:val="fr-FR"/>
        </w:rPr>
        <w:t>i</w:t>
      </w:r>
      <w:r w:rsidR="00560494" w:rsidRPr="00632067">
        <w:rPr>
          <w:lang w:val="fr-FR"/>
        </w:rPr>
        <w:t>nvite le Groupe consultatif de la normalisation des télécommunications</w:t>
      </w:r>
    </w:p>
    <w:p w14:paraId="05A98664" w14:textId="0E0AE188" w:rsidR="005F5932" w:rsidRPr="00632067" w:rsidRDefault="005F5932" w:rsidP="00B01838">
      <w:pPr>
        <w:rPr>
          <w:lang w:val="fr-FR"/>
        </w:rPr>
      </w:pPr>
      <w:r w:rsidRPr="00632067">
        <w:rPr>
          <w:lang w:val="fr-FR"/>
        </w:rPr>
        <w:t>1</w:t>
      </w:r>
      <w:r w:rsidRPr="00632067">
        <w:rPr>
          <w:lang w:val="fr-FR"/>
        </w:rPr>
        <w:tab/>
      </w:r>
      <w:r w:rsidR="00583AB3" w:rsidRPr="00632067">
        <w:rPr>
          <w:lang w:val="fr-FR"/>
        </w:rPr>
        <w:t xml:space="preserve">à étudier </w:t>
      </w:r>
      <w:r w:rsidR="00DD5368" w:rsidRPr="00632067">
        <w:rPr>
          <w:lang w:val="fr-FR"/>
        </w:rPr>
        <w:t>la façon d'instaurer un environnement structurel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propre à</w:t>
      </w:r>
      <w:r w:rsidR="00B01838" w:rsidRPr="00632067">
        <w:rPr>
          <w:lang w:val="fr-FR"/>
        </w:rPr>
        <w:t xml:space="preserve"> </w:t>
      </w:r>
      <w:r w:rsidR="00E47A37" w:rsidRPr="00632067">
        <w:rPr>
          <w:lang w:val="fr-FR"/>
        </w:rPr>
        <w:t xml:space="preserve">améliorer la mobilisation et la participation du secteur privé </w:t>
      </w:r>
      <w:r w:rsidR="007A05F0" w:rsidRPr="00632067">
        <w:rPr>
          <w:lang w:val="fr-FR"/>
        </w:rPr>
        <w:t>dans tous les</w:t>
      </w:r>
      <w:r w:rsidR="005E2534" w:rsidRPr="00632067">
        <w:rPr>
          <w:lang w:val="fr-FR"/>
        </w:rPr>
        <w:t xml:space="preserve"> domaines</w:t>
      </w:r>
      <w:r w:rsidR="00117730" w:rsidRPr="00632067">
        <w:rPr>
          <w:lang w:val="fr-FR"/>
        </w:rPr>
        <w:t xml:space="preserve"> </w:t>
      </w:r>
      <w:r w:rsidR="004E65E1" w:rsidRPr="00632067">
        <w:rPr>
          <w:lang w:val="fr-FR"/>
        </w:rPr>
        <w:t>de</w:t>
      </w:r>
      <w:r w:rsidR="007A05F0" w:rsidRPr="00632067">
        <w:rPr>
          <w:color w:val="000000"/>
          <w:lang w:val="fr-FR"/>
        </w:rPr>
        <w:t xml:space="preserve"> spécialisation,</w:t>
      </w:r>
      <w:r w:rsidR="007A05F0" w:rsidRPr="00632067" w:rsidDel="007A05F0">
        <w:rPr>
          <w:lang w:val="fr-FR"/>
        </w:rPr>
        <w:t xml:space="preserve"> </w:t>
      </w:r>
      <w:r w:rsidR="00117730" w:rsidRPr="00632067">
        <w:rPr>
          <w:lang w:val="fr-FR"/>
        </w:rPr>
        <w:t xml:space="preserve">de l'UIT-T, </w:t>
      </w:r>
      <w:r w:rsidR="00F250F8" w:rsidRPr="00632067">
        <w:rPr>
          <w:lang w:val="fr-FR"/>
        </w:rPr>
        <w:t xml:space="preserve">y compris les solutions permettant de faciliter une procédure systématique d'analyse des lacunes concernant </w:t>
      </w:r>
      <w:r w:rsidR="000E7A1F" w:rsidRPr="00632067">
        <w:rPr>
          <w:lang w:val="fr-FR"/>
        </w:rPr>
        <w:t>l</w:t>
      </w:r>
      <w:r w:rsidR="00F250F8" w:rsidRPr="00632067">
        <w:rPr>
          <w:lang w:val="fr-FR"/>
        </w:rPr>
        <w:t xml:space="preserve">es activités </w:t>
      </w:r>
      <w:r w:rsidR="007A05F0" w:rsidRPr="00632067">
        <w:rPr>
          <w:lang w:val="fr-FR"/>
        </w:rPr>
        <w:t>analogues</w:t>
      </w:r>
      <w:r w:rsidR="00B01838" w:rsidRPr="00632067">
        <w:rPr>
          <w:lang w:val="fr-FR"/>
        </w:rPr>
        <w:t xml:space="preserve"> </w:t>
      </w:r>
      <w:r w:rsidR="00E92C0B" w:rsidRPr="00632067">
        <w:rPr>
          <w:lang w:val="fr-FR"/>
        </w:rPr>
        <w:t>menées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par</w:t>
      </w:r>
      <w:r w:rsidR="00F250F8" w:rsidRPr="00632067">
        <w:rPr>
          <w:lang w:val="fr-FR"/>
        </w:rPr>
        <w:t xml:space="preserve"> d'autres organismes de normalisation;</w:t>
      </w:r>
    </w:p>
    <w:p w14:paraId="53955C9B" w14:textId="40AA20C2" w:rsidR="005F5932" w:rsidRPr="00632067" w:rsidRDefault="005F5932" w:rsidP="00B01838">
      <w:pPr>
        <w:rPr>
          <w:lang w:val="fr-FR"/>
        </w:rPr>
      </w:pPr>
      <w:r w:rsidRPr="00632067">
        <w:rPr>
          <w:lang w:val="fr-FR"/>
        </w:rPr>
        <w:t>2</w:t>
      </w:r>
      <w:r w:rsidRPr="00632067">
        <w:rPr>
          <w:lang w:val="fr-FR"/>
        </w:rPr>
        <w:tab/>
      </w:r>
      <w:r w:rsidR="00F250F8" w:rsidRPr="00632067">
        <w:rPr>
          <w:lang w:val="fr-FR"/>
        </w:rPr>
        <w:t>à poursuivre l'analyse des</w:t>
      </w:r>
      <w:r w:rsidR="007A05F0" w:rsidRPr="00632067">
        <w:rPr>
          <w:lang w:val="fr-FR"/>
        </w:rPr>
        <w:t xml:space="preserve"> paramètres de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mesure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>relatifs</w:t>
      </w:r>
      <w:r w:rsidR="00B01838" w:rsidRPr="00632067">
        <w:rPr>
          <w:lang w:val="fr-FR"/>
        </w:rPr>
        <w:t xml:space="preserve"> </w:t>
      </w:r>
      <w:r w:rsidR="00F250F8" w:rsidRPr="00632067">
        <w:rPr>
          <w:lang w:val="fr-FR"/>
        </w:rPr>
        <w:t xml:space="preserve">à la participation du secteur privé et aux résultats obtenus, non seulement </w:t>
      </w:r>
      <w:r w:rsidR="007A05F0" w:rsidRPr="00632067">
        <w:rPr>
          <w:lang w:val="fr-FR"/>
        </w:rPr>
        <w:t>au niveau</w:t>
      </w:r>
      <w:r w:rsidR="00F250F8" w:rsidRPr="00632067">
        <w:rPr>
          <w:lang w:val="fr-FR"/>
        </w:rPr>
        <w:t xml:space="preserve"> des commissions d'études, mais aussi </w:t>
      </w:r>
      <w:r w:rsidR="007A05F0" w:rsidRPr="00632067">
        <w:rPr>
          <w:lang w:val="fr-FR"/>
        </w:rPr>
        <w:t xml:space="preserve">au niveau </w:t>
      </w:r>
      <w:r w:rsidR="00F250F8" w:rsidRPr="00632067">
        <w:rPr>
          <w:lang w:val="fr-FR"/>
        </w:rPr>
        <w:t>des groupes du Rapporteur</w:t>
      </w:r>
      <w:r w:rsidR="00F35354" w:rsidRPr="00632067">
        <w:rPr>
          <w:lang w:val="fr-FR"/>
        </w:rPr>
        <w:t xml:space="preserve"> et dans le cadre de réunions </w:t>
      </w:r>
      <w:r w:rsidR="007A05F0" w:rsidRPr="00632067">
        <w:rPr>
          <w:lang w:val="fr-FR"/>
        </w:rPr>
        <w:t>communes</w:t>
      </w:r>
      <w:r w:rsidR="00B01838" w:rsidRPr="00632067">
        <w:rPr>
          <w:lang w:val="fr-FR"/>
        </w:rPr>
        <w:t xml:space="preserve"> </w:t>
      </w:r>
      <w:r w:rsidR="00F35354" w:rsidRPr="00632067">
        <w:rPr>
          <w:lang w:val="fr-FR"/>
        </w:rPr>
        <w:t>avec d'autres organisations internationales;</w:t>
      </w:r>
    </w:p>
    <w:p w14:paraId="240E7B94" w14:textId="20248510" w:rsidR="005F5932" w:rsidRPr="00632067" w:rsidRDefault="005F5932" w:rsidP="00B01838">
      <w:pPr>
        <w:rPr>
          <w:lang w:val="fr-FR"/>
        </w:rPr>
      </w:pPr>
      <w:r w:rsidRPr="00632067">
        <w:rPr>
          <w:lang w:val="fr-FR"/>
        </w:rPr>
        <w:lastRenderedPageBreak/>
        <w:t>3</w:t>
      </w:r>
      <w:r w:rsidRPr="00632067">
        <w:rPr>
          <w:lang w:val="fr-FR"/>
        </w:rPr>
        <w:tab/>
      </w:r>
      <w:r w:rsidR="00F35354" w:rsidRPr="00632067">
        <w:rPr>
          <w:lang w:val="fr-FR"/>
        </w:rPr>
        <w:t xml:space="preserve">à recenser des solutions en vue de la création, sous les auspices du GCNT, d'un groupe dirigé par </w:t>
      </w:r>
      <w:r w:rsidR="007A05F0" w:rsidRPr="00632067">
        <w:rPr>
          <w:lang w:val="fr-FR"/>
        </w:rPr>
        <w:t>le</w:t>
      </w:r>
      <w:r w:rsidR="00F35354" w:rsidRPr="00632067">
        <w:rPr>
          <w:lang w:val="fr-FR"/>
        </w:rPr>
        <w:t xml:space="preserve"> secteur privé, </w:t>
      </w:r>
      <w:r w:rsidR="008826C5" w:rsidRPr="00632067">
        <w:rPr>
          <w:lang w:val="fr-FR"/>
        </w:rPr>
        <w:t>qui aura pour</w:t>
      </w:r>
      <w:r w:rsidR="00B01838" w:rsidRPr="00632067">
        <w:rPr>
          <w:lang w:val="fr-FR"/>
        </w:rPr>
        <w:t xml:space="preserve"> </w:t>
      </w:r>
      <w:r w:rsidR="007A05F0" w:rsidRPr="00632067">
        <w:rPr>
          <w:lang w:val="fr-FR"/>
        </w:rPr>
        <w:t xml:space="preserve">mission de déterminer </w:t>
      </w:r>
      <w:r w:rsidR="008826C5" w:rsidRPr="00632067">
        <w:rPr>
          <w:lang w:val="fr-FR"/>
        </w:rPr>
        <w:t>les principa</w:t>
      </w:r>
      <w:r w:rsidR="007A05F0" w:rsidRPr="00632067">
        <w:rPr>
          <w:lang w:val="fr-FR"/>
        </w:rPr>
        <w:t>les questions à aborder</w:t>
      </w:r>
      <w:r w:rsidR="00B01838" w:rsidRPr="00632067">
        <w:rPr>
          <w:lang w:val="fr-FR"/>
        </w:rPr>
        <w:t xml:space="preserve"> </w:t>
      </w:r>
      <w:r w:rsidR="008826C5" w:rsidRPr="00632067">
        <w:rPr>
          <w:lang w:val="fr-FR"/>
        </w:rPr>
        <w:t xml:space="preserve">et les principales mesures </w:t>
      </w:r>
      <w:r w:rsidR="00A65285" w:rsidRPr="00632067">
        <w:rPr>
          <w:lang w:val="fr-FR"/>
        </w:rPr>
        <w:t xml:space="preserve">à prendre </w:t>
      </w:r>
      <w:r w:rsidR="00085A81" w:rsidRPr="00632067">
        <w:rPr>
          <w:lang w:val="fr-FR"/>
        </w:rPr>
        <w:t xml:space="preserve">pour garantir la </w:t>
      </w:r>
      <w:r w:rsidR="00DE0F3F" w:rsidRPr="00632067">
        <w:rPr>
          <w:lang w:val="fr-FR"/>
        </w:rPr>
        <w:t xml:space="preserve">participation </w:t>
      </w:r>
      <w:r w:rsidR="00085A81" w:rsidRPr="00632067">
        <w:rPr>
          <w:lang w:val="fr-FR"/>
        </w:rPr>
        <w:t>continue et accrue du secteur privé aux travaux de l'UIT-T</w:t>
      </w:r>
      <w:r w:rsidR="007A05F0" w:rsidRPr="00632067">
        <w:rPr>
          <w:lang w:val="fr-FR"/>
        </w:rPr>
        <w:t xml:space="preserve"> </w:t>
      </w:r>
      <w:r w:rsidR="00085A81" w:rsidRPr="00632067">
        <w:rPr>
          <w:lang w:val="fr-FR"/>
        </w:rPr>
        <w:t>aux niveaux mondial et régional,</w:t>
      </w:r>
    </w:p>
    <w:p w14:paraId="18A17604" w14:textId="22E524D3" w:rsidR="00FB2FC9" w:rsidRPr="00632067" w:rsidRDefault="00E31236" w:rsidP="00B01838">
      <w:pPr>
        <w:pStyle w:val="Call"/>
        <w:rPr>
          <w:lang w:val="fr-FR"/>
        </w:rPr>
      </w:pPr>
      <w:r w:rsidRPr="00632067">
        <w:rPr>
          <w:lang w:val="fr-FR"/>
        </w:rPr>
        <w:t>charge</w:t>
      </w:r>
      <w:r w:rsidR="00FB2FC9" w:rsidRPr="00632067">
        <w:rPr>
          <w:lang w:val="fr-FR"/>
        </w:rPr>
        <w:t xml:space="preserve"> le Directeur du Bureau de la normalisation des télécommunications</w:t>
      </w:r>
    </w:p>
    <w:p w14:paraId="6D65FD60" w14:textId="47CC6BCE" w:rsidR="005F5932" w:rsidRPr="00632067" w:rsidRDefault="00FB2FC9" w:rsidP="00B01838">
      <w:pPr>
        <w:rPr>
          <w:lang w:val="fr-FR"/>
        </w:rPr>
      </w:pPr>
      <w:r w:rsidRPr="00632067">
        <w:rPr>
          <w:lang w:val="fr-FR"/>
        </w:rPr>
        <w:t>d'organiser</w:t>
      </w:r>
      <w:r w:rsidR="0083103A" w:rsidRPr="00632067">
        <w:rPr>
          <w:lang w:val="fr-FR"/>
        </w:rPr>
        <w:t>, outre les réunions des groupes CTO et C</w:t>
      </w:r>
      <w:r w:rsidR="00632067" w:rsidRPr="00632067">
        <w:rPr>
          <w:lang w:val="fr-FR"/>
        </w:rPr>
        <w:t>X</w:t>
      </w:r>
      <w:r w:rsidR="0083103A" w:rsidRPr="00632067">
        <w:rPr>
          <w:lang w:val="fr-FR"/>
        </w:rPr>
        <w:t>O organisées actuellement,</w:t>
      </w:r>
      <w:r w:rsidRPr="00632067">
        <w:rPr>
          <w:lang w:val="fr-FR"/>
        </w:rPr>
        <w:t xml:space="preserve"> des réunions </w:t>
      </w:r>
      <w:r w:rsidR="00DD4242" w:rsidRPr="00632067">
        <w:rPr>
          <w:lang w:val="fr-FR"/>
        </w:rPr>
        <w:t xml:space="preserve">à l'intention </w:t>
      </w:r>
      <w:r w:rsidRPr="00632067">
        <w:rPr>
          <w:lang w:val="fr-FR"/>
        </w:rPr>
        <w:t xml:space="preserve">de </w:t>
      </w:r>
      <w:r w:rsidR="007A05F0" w:rsidRPr="00632067">
        <w:rPr>
          <w:lang w:val="fr-FR"/>
        </w:rPr>
        <w:t xml:space="preserve">dirigeants </w:t>
      </w:r>
      <w:r w:rsidRPr="00632067">
        <w:rPr>
          <w:lang w:val="fr-FR"/>
        </w:rPr>
        <w:t>du secteur privé</w:t>
      </w:r>
      <w:r w:rsidR="007A05F0" w:rsidRPr="00632067">
        <w:rPr>
          <w:lang w:val="fr-FR"/>
        </w:rPr>
        <w:t xml:space="preserve"> et représentant la diversité des vues</w:t>
      </w:r>
      <w:r w:rsidR="00B01838" w:rsidRPr="00632067">
        <w:rPr>
          <w:lang w:val="fr-FR"/>
        </w:rPr>
        <w:t xml:space="preserve"> </w:t>
      </w:r>
      <w:r w:rsidR="002A6242" w:rsidRPr="00632067">
        <w:rPr>
          <w:lang w:val="fr-FR"/>
        </w:rPr>
        <w:t>des parties prenantes, et d'élargir la participation à ces réunions</w:t>
      </w:r>
      <w:r w:rsidR="00901490" w:rsidRPr="00632067">
        <w:rPr>
          <w:lang w:val="fr-FR"/>
        </w:rPr>
        <w:t>, afin de</w:t>
      </w:r>
      <w:r w:rsidRPr="00632067">
        <w:rPr>
          <w:lang w:val="fr-FR"/>
        </w:rPr>
        <w:t xml:space="preserve"> </w:t>
      </w:r>
      <w:r w:rsidR="008E3B60" w:rsidRPr="00632067">
        <w:rPr>
          <w:lang w:val="fr-FR"/>
        </w:rPr>
        <w:t>contribuer à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>la</w:t>
      </w:r>
      <w:r w:rsidR="008E3B60" w:rsidRPr="00632067">
        <w:rPr>
          <w:lang w:val="fr-FR"/>
        </w:rPr>
        <w:t xml:space="preserve"> définition</w:t>
      </w:r>
      <w:r w:rsidR="00B01838" w:rsidRPr="00632067">
        <w:rPr>
          <w:lang w:val="fr-FR"/>
        </w:rPr>
        <w:t xml:space="preserve"> </w:t>
      </w:r>
      <w:r w:rsidRPr="00632067">
        <w:rPr>
          <w:lang w:val="fr-FR"/>
        </w:rPr>
        <w:t>et</w:t>
      </w:r>
      <w:r w:rsidR="008E3B60" w:rsidRPr="00632067">
        <w:rPr>
          <w:lang w:val="fr-FR"/>
        </w:rPr>
        <w:t xml:space="preserve"> à</w:t>
      </w:r>
      <w:r w:rsidRPr="00632067">
        <w:rPr>
          <w:lang w:val="fr-FR"/>
        </w:rPr>
        <w:t xml:space="preserve"> la coordination des priorités et des </w:t>
      </w:r>
      <w:r w:rsidR="008E3B60" w:rsidRPr="00632067">
        <w:rPr>
          <w:lang w:val="fr-FR"/>
        </w:rPr>
        <w:t xml:space="preserve">questions </w:t>
      </w:r>
      <w:r w:rsidRPr="00632067">
        <w:rPr>
          <w:lang w:val="fr-FR"/>
        </w:rPr>
        <w:t>de normalisation</w:t>
      </w:r>
      <w:r w:rsidR="00D739E2" w:rsidRPr="00632067">
        <w:rPr>
          <w:lang w:val="fr-FR"/>
        </w:rPr>
        <w:t xml:space="preserve">, et </w:t>
      </w:r>
      <w:r w:rsidR="00B168FB" w:rsidRPr="00632067">
        <w:rPr>
          <w:lang w:val="fr-FR"/>
        </w:rPr>
        <w:t xml:space="preserve">de </w:t>
      </w:r>
      <w:r w:rsidR="008E3B60" w:rsidRPr="00632067">
        <w:rPr>
          <w:lang w:val="fr-FR"/>
        </w:rPr>
        <w:t>faire</w:t>
      </w:r>
      <w:r w:rsidR="00B168FB" w:rsidRPr="00632067">
        <w:rPr>
          <w:lang w:val="fr-FR"/>
        </w:rPr>
        <w:t xml:space="preserve"> </w:t>
      </w:r>
      <w:r w:rsidR="008E3B60" w:rsidRPr="00632067">
        <w:rPr>
          <w:lang w:val="fr-FR"/>
        </w:rPr>
        <w:t>rapport</w:t>
      </w:r>
      <w:r w:rsidR="00B01838" w:rsidRPr="00632067">
        <w:rPr>
          <w:lang w:val="fr-FR"/>
        </w:rPr>
        <w:t xml:space="preserve"> </w:t>
      </w:r>
      <w:r w:rsidR="00B168FB" w:rsidRPr="00632067">
        <w:rPr>
          <w:lang w:val="fr-FR"/>
        </w:rPr>
        <w:t>au</w:t>
      </w:r>
      <w:r w:rsidR="00D739E2" w:rsidRPr="00632067">
        <w:rPr>
          <w:lang w:val="fr-FR"/>
        </w:rPr>
        <w:t xml:space="preserve"> GCNT</w:t>
      </w:r>
      <w:r w:rsidR="005F5932" w:rsidRPr="00632067">
        <w:rPr>
          <w:lang w:val="fr-FR"/>
        </w:rPr>
        <w:t>,</w:t>
      </w:r>
    </w:p>
    <w:p w14:paraId="7CB64FF8" w14:textId="7F1B450B" w:rsidR="005F5932" w:rsidRPr="00632067" w:rsidRDefault="002451AF" w:rsidP="00B01838">
      <w:pPr>
        <w:pStyle w:val="Call"/>
        <w:rPr>
          <w:lang w:val="fr-FR"/>
        </w:rPr>
      </w:pPr>
      <w:r w:rsidRPr="00632067">
        <w:rPr>
          <w:lang w:val="fr-FR"/>
        </w:rPr>
        <w:t>invite le Bureau de la normalisation des télécommunications</w:t>
      </w:r>
    </w:p>
    <w:p w14:paraId="7926E649" w14:textId="097A38A4" w:rsidR="005F5932" w:rsidRPr="00632067" w:rsidRDefault="00C44E17" w:rsidP="00B01838">
      <w:pPr>
        <w:rPr>
          <w:lang w:val="fr-FR"/>
        </w:rPr>
      </w:pPr>
      <w:r w:rsidRPr="00632067">
        <w:rPr>
          <w:lang w:val="fr-FR"/>
        </w:rPr>
        <w:t xml:space="preserve">à </w:t>
      </w:r>
      <w:r w:rsidR="008E3B60" w:rsidRPr="00632067">
        <w:rPr>
          <w:lang w:val="fr-FR"/>
        </w:rPr>
        <w:t>aider les</w:t>
      </w:r>
      <w:r w:rsidR="00B01838" w:rsidRPr="00632067">
        <w:rPr>
          <w:lang w:val="fr-FR"/>
        </w:rPr>
        <w:t xml:space="preserve"> </w:t>
      </w:r>
      <w:r w:rsidR="00D739E2" w:rsidRPr="00632067">
        <w:rPr>
          <w:lang w:val="fr-FR"/>
        </w:rPr>
        <w:t>commissions d'étude</w:t>
      </w:r>
      <w:r w:rsidR="001701F9" w:rsidRPr="00632067">
        <w:rPr>
          <w:lang w:val="fr-FR"/>
        </w:rPr>
        <w:t>s</w:t>
      </w:r>
      <w:r w:rsidR="00D739E2" w:rsidRPr="00632067">
        <w:rPr>
          <w:lang w:val="fr-FR"/>
        </w:rPr>
        <w:t xml:space="preserve"> et</w:t>
      </w:r>
      <w:r w:rsidR="00B01838" w:rsidRPr="00632067">
        <w:rPr>
          <w:lang w:val="fr-FR"/>
        </w:rPr>
        <w:t xml:space="preserve"> </w:t>
      </w:r>
      <w:r w:rsidR="008E3B60" w:rsidRPr="00632067">
        <w:rPr>
          <w:lang w:val="fr-FR"/>
        </w:rPr>
        <w:t xml:space="preserve">le </w:t>
      </w:r>
      <w:r w:rsidR="00D739E2" w:rsidRPr="00632067">
        <w:rPr>
          <w:lang w:val="fr-FR"/>
        </w:rPr>
        <w:t>GCNT</w:t>
      </w:r>
      <w:r w:rsidR="00B01838" w:rsidRPr="00632067">
        <w:rPr>
          <w:lang w:val="fr-FR"/>
        </w:rPr>
        <w:t xml:space="preserve"> </w:t>
      </w:r>
      <w:r w:rsidR="008E3B60" w:rsidRPr="00632067">
        <w:rPr>
          <w:lang w:val="fr-FR"/>
        </w:rPr>
        <w:t>à</w:t>
      </w:r>
      <w:r w:rsidR="00D739E2" w:rsidRPr="00632067">
        <w:rPr>
          <w:lang w:val="fr-FR"/>
        </w:rPr>
        <w:t xml:space="preserve"> détermin</w:t>
      </w:r>
      <w:r w:rsidR="008E3B60" w:rsidRPr="00632067">
        <w:rPr>
          <w:lang w:val="fr-FR"/>
        </w:rPr>
        <w:t>er</w:t>
      </w:r>
      <w:r w:rsidR="00B01838" w:rsidRPr="00632067">
        <w:rPr>
          <w:lang w:val="fr-FR"/>
        </w:rPr>
        <w:t xml:space="preserve"> </w:t>
      </w:r>
      <w:r w:rsidR="00D739E2" w:rsidRPr="00632067">
        <w:rPr>
          <w:lang w:val="fr-FR"/>
        </w:rPr>
        <w:t>d'autres mesures</w:t>
      </w:r>
      <w:r w:rsidR="00B01838" w:rsidRPr="00632067">
        <w:rPr>
          <w:lang w:val="fr-FR"/>
        </w:rPr>
        <w:t xml:space="preserve"> </w:t>
      </w:r>
      <w:r w:rsidR="008E3B60" w:rsidRPr="00632067">
        <w:rPr>
          <w:lang w:val="fr-FR"/>
        </w:rPr>
        <w:t>propres à</w:t>
      </w:r>
      <w:r w:rsidR="00EB598D" w:rsidRPr="00632067">
        <w:rPr>
          <w:lang w:val="fr-FR"/>
        </w:rPr>
        <w:t xml:space="preserve"> renforcer</w:t>
      </w:r>
      <w:r w:rsidR="00D739E2" w:rsidRPr="00632067">
        <w:rPr>
          <w:lang w:val="fr-FR"/>
        </w:rPr>
        <w:t xml:space="preserve"> la participation du secteur privé aux travaux de l'UIT-T,</w:t>
      </w:r>
    </w:p>
    <w:p w14:paraId="645D6ED6" w14:textId="1AAADAFE" w:rsidR="005F5932" w:rsidRPr="00632067" w:rsidRDefault="003A5F4F" w:rsidP="00B01838">
      <w:pPr>
        <w:pStyle w:val="Call"/>
        <w:rPr>
          <w:lang w:val="fr-FR"/>
        </w:rPr>
      </w:pPr>
      <w:r w:rsidRPr="00632067">
        <w:rPr>
          <w:lang w:val="fr-FR"/>
        </w:rPr>
        <w:t xml:space="preserve">invite les </w:t>
      </w:r>
      <w:r w:rsidRPr="00632067">
        <w:rPr>
          <w:color w:val="000000"/>
          <w:lang w:val="fr-FR"/>
        </w:rPr>
        <w:t>États Membres, les Membres de Secteur, les Associés et d'autres participants aux travaux de l'UIT-T</w:t>
      </w:r>
    </w:p>
    <w:p w14:paraId="6F71EC5E" w14:textId="77E3C08B" w:rsidR="005F5932" w:rsidRPr="00632067" w:rsidRDefault="00D739E2" w:rsidP="00B01838">
      <w:pPr>
        <w:rPr>
          <w:lang w:val="fr-FR"/>
        </w:rPr>
      </w:pPr>
      <w:r w:rsidRPr="00632067">
        <w:rPr>
          <w:lang w:val="fr-FR"/>
        </w:rPr>
        <w:t xml:space="preserve">à fournir des contributions et </w:t>
      </w:r>
      <w:r w:rsidR="00B65572" w:rsidRPr="00632067">
        <w:rPr>
          <w:lang w:val="fr-FR"/>
        </w:rPr>
        <w:t xml:space="preserve">à formuler </w:t>
      </w:r>
      <w:r w:rsidRPr="00632067">
        <w:rPr>
          <w:lang w:val="fr-FR"/>
        </w:rPr>
        <w:t xml:space="preserve">des propositions </w:t>
      </w:r>
      <w:r w:rsidR="00052528" w:rsidRPr="00632067">
        <w:rPr>
          <w:lang w:val="fr-FR"/>
        </w:rPr>
        <w:t>sur la façon d</w:t>
      </w:r>
      <w:r w:rsidR="00227A78" w:rsidRPr="00632067">
        <w:rPr>
          <w:lang w:val="fr-FR"/>
        </w:rPr>
        <w:t xml:space="preserve">e renforcer </w:t>
      </w:r>
      <w:r w:rsidR="00052528" w:rsidRPr="00632067">
        <w:rPr>
          <w:lang w:val="fr-FR"/>
        </w:rPr>
        <w:t>la mobilisation et la participation du secteur privé.</w:t>
      </w:r>
    </w:p>
    <w:p w14:paraId="775E7E97" w14:textId="77777777" w:rsidR="00632067" w:rsidRPr="00632067" w:rsidRDefault="00632067" w:rsidP="00632067">
      <w:pPr>
        <w:pStyle w:val="Reasons"/>
        <w:rPr>
          <w:lang w:val="fr-FR"/>
        </w:rPr>
      </w:pPr>
    </w:p>
    <w:p w14:paraId="7F1F682F" w14:textId="77777777" w:rsidR="000031B3" w:rsidRPr="00632067" w:rsidRDefault="000031B3" w:rsidP="00B01838">
      <w:pPr>
        <w:spacing w:before="360"/>
        <w:jc w:val="center"/>
        <w:rPr>
          <w:lang w:val="fr-FR"/>
        </w:rPr>
      </w:pPr>
      <w:r w:rsidRPr="00632067">
        <w:rPr>
          <w:lang w:val="fr-FR"/>
        </w:rPr>
        <w:t>______________</w:t>
      </w:r>
    </w:p>
    <w:sectPr w:rsidR="000031B3" w:rsidRPr="0063206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21C0" w14:textId="77777777" w:rsidR="007A05F0" w:rsidRDefault="007A05F0">
      <w:r>
        <w:separator/>
      </w:r>
    </w:p>
  </w:endnote>
  <w:endnote w:type="continuationSeparator" w:id="0">
    <w:p w14:paraId="48FD98D6" w14:textId="77777777" w:rsidR="007A05F0" w:rsidRDefault="007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09CA" w14:textId="77777777" w:rsidR="007A05F0" w:rsidRDefault="007A05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04577D" w14:textId="43E2E3AF" w:rsidR="007A05F0" w:rsidRPr="000031B3" w:rsidRDefault="007A05F0">
    <w:pPr>
      <w:ind w:right="360"/>
      <w:rPr>
        <w:lang w:val="fr-FR"/>
      </w:rPr>
    </w:pPr>
    <w:r>
      <w:fldChar w:fldCharType="begin"/>
    </w:r>
    <w:r w:rsidRPr="000031B3">
      <w:rPr>
        <w:lang w:val="fr-FR"/>
      </w:rPr>
      <w:instrText xml:space="preserve"> FILENAME \p  \* MERGEFORMAT </w:instrText>
    </w:r>
    <w:r>
      <w:fldChar w:fldCharType="separate"/>
    </w:r>
    <w:r w:rsidR="00632067">
      <w:rPr>
        <w:noProof/>
        <w:lang w:val="fr-FR"/>
      </w:rPr>
      <w:t>P:\FRA\ITU-T\CONF-T\WTSA20\000\038ADD25F.docx</w:t>
    </w:r>
    <w:r>
      <w:fldChar w:fldCharType="end"/>
    </w:r>
    <w:r w:rsidRPr="000031B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1B91">
      <w:rPr>
        <w:noProof/>
      </w:rPr>
      <w:t>13.08.21</w:t>
    </w:r>
    <w:r>
      <w:fldChar w:fldCharType="end"/>
    </w:r>
    <w:r w:rsidRPr="000031B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2067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0138" w14:textId="20DA3F5C" w:rsidR="007A05F0" w:rsidRPr="000031B3" w:rsidRDefault="00632067" w:rsidP="00526703">
    <w:pPr>
      <w:pStyle w:val="Footer"/>
      <w:rPr>
        <w:lang w:val="fr-FR"/>
      </w:rPr>
    </w:pPr>
    <w:r>
      <w:fldChar w:fldCharType="begin"/>
    </w:r>
    <w:r w:rsidRPr="000031B3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P:\FRA\ITU-T\CONF-T\WTSA20\000\038ADD25F.docx</w:t>
    </w:r>
    <w:r>
      <w:fldChar w:fldCharType="end"/>
    </w:r>
    <w:r w:rsidRPr="000031B3">
      <w:rPr>
        <w:lang w:val="fr-FR"/>
      </w:rPr>
      <w:t xml:space="preserve"> (</w:t>
    </w:r>
    <w:r>
      <w:rPr>
        <w:lang w:val="fr-FR"/>
      </w:rPr>
      <w:t>493165</w:t>
    </w:r>
    <w:r w:rsidRPr="000031B3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7F7" w14:textId="4FC14477" w:rsidR="007A05F0" w:rsidRPr="000031B3" w:rsidRDefault="007A05F0" w:rsidP="000031B3">
    <w:pPr>
      <w:pStyle w:val="Footer"/>
      <w:rPr>
        <w:lang w:val="fr-FR"/>
      </w:rPr>
    </w:pPr>
    <w:r>
      <w:fldChar w:fldCharType="begin"/>
    </w:r>
    <w:r w:rsidRPr="000031B3">
      <w:rPr>
        <w:lang w:val="fr-FR"/>
      </w:rPr>
      <w:instrText xml:space="preserve"> FILENAME \p  \* MERGEFORMAT </w:instrText>
    </w:r>
    <w:r>
      <w:fldChar w:fldCharType="separate"/>
    </w:r>
    <w:r w:rsidR="00632067">
      <w:rPr>
        <w:lang w:val="fr-FR"/>
      </w:rPr>
      <w:t>P:\FRA\ITU-T\CONF-T\WTSA20\000\038ADD25F.docx</w:t>
    </w:r>
    <w:r>
      <w:fldChar w:fldCharType="end"/>
    </w:r>
    <w:r w:rsidRPr="000031B3">
      <w:rPr>
        <w:lang w:val="fr-FR"/>
      </w:rPr>
      <w:t xml:space="preserve"> (</w:t>
    </w:r>
    <w:r>
      <w:rPr>
        <w:lang w:val="fr-FR"/>
      </w:rPr>
      <w:t>493165</w:t>
    </w:r>
    <w:r w:rsidRPr="000031B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CA4" w14:textId="77777777" w:rsidR="007A05F0" w:rsidRDefault="007A05F0">
      <w:r>
        <w:rPr>
          <w:b/>
        </w:rPr>
        <w:t>_______________</w:t>
      </w:r>
    </w:p>
  </w:footnote>
  <w:footnote w:type="continuationSeparator" w:id="0">
    <w:p w14:paraId="76034752" w14:textId="77777777" w:rsidR="007A05F0" w:rsidRDefault="007A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0B79" w14:textId="76ED5536" w:rsidR="007A05F0" w:rsidRDefault="007A05F0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66B66">
      <w:rPr>
        <w:noProof/>
      </w:rPr>
      <w:t>4</w:t>
    </w:r>
    <w:r>
      <w:fldChar w:fldCharType="end"/>
    </w:r>
  </w:p>
  <w:p w14:paraId="0FC0EB37" w14:textId="12AD6727" w:rsidR="007A05F0" w:rsidRDefault="007A05F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F81CF8">
      <w:rPr>
        <w:noProof/>
      </w:rPr>
      <w:t>Addendum 25 au</w:t>
    </w:r>
    <w:r w:rsidR="00F81CF8">
      <w:rPr>
        <w:noProof/>
      </w:rPr>
      <w:br/>
      <w:t>Document 38-F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B0190C-5556-4A73-A264-8A7629272144}"/>
    <w:docVar w:name="dgnword-eventsink" w:val="2202639905808"/>
  </w:docVars>
  <w:rsids>
    <w:rsidRoot w:val="00B31EF6"/>
    <w:rsid w:val="00000E34"/>
    <w:rsid w:val="000031B3"/>
    <w:rsid w:val="000032AD"/>
    <w:rsid w:val="000041EA"/>
    <w:rsid w:val="00022A29"/>
    <w:rsid w:val="000271D6"/>
    <w:rsid w:val="000329DF"/>
    <w:rsid w:val="000330C4"/>
    <w:rsid w:val="000355FD"/>
    <w:rsid w:val="000419E9"/>
    <w:rsid w:val="0005080D"/>
    <w:rsid w:val="00051E39"/>
    <w:rsid w:val="00052528"/>
    <w:rsid w:val="0006523E"/>
    <w:rsid w:val="00076ABC"/>
    <w:rsid w:val="00077239"/>
    <w:rsid w:val="00081194"/>
    <w:rsid w:val="00084DF4"/>
    <w:rsid w:val="00085A81"/>
    <w:rsid w:val="00086491"/>
    <w:rsid w:val="00091346"/>
    <w:rsid w:val="0009706C"/>
    <w:rsid w:val="000A14AF"/>
    <w:rsid w:val="000A7714"/>
    <w:rsid w:val="000B13CB"/>
    <w:rsid w:val="000B2E10"/>
    <w:rsid w:val="000B504E"/>
    <w:rsid w:val="000C2D85"/>
    <w:rsid w:val="000D1A70"/>
    <w:rsid w:val="000E05BB"/>
    <w:rsid w:val="000E7A1F"/>
    <w:rsid w:val="000F1AA2"/>
    <w:rsid w:val="000F73FF"/>
    <w:rsid w:val="00100348"/>
    <w:rsid w:val="0011336E"/>
    <w:rsid w:val="00114CF7"/>
    <w:rsid w:val="00117730"/>
    <w:rsid w:val="00123B68"/>
    <w:rsid w:val="00126F2E"/>
    <w:rsid w:val="00137F17"/>
    <w:rsid w:val="00146F6F"/>
    <w:rsid w:val="00152D58"/>
    <w:rsid w:val="00153859"/>
    <w:rsid w:val="00153B59"/>
    <w:rsid w:val="00156B3A"/>
    <w:rsid w:val="001578E8"/>
    <w:rsid w:val="00164C14"/>
    <w:rsid w:val="0016697A"/>
    <w:rsid w:val="001701F9"/>
    <w:rsid w:val="00173D26"/>
    <w:rsid w:val="00174E9D"/>
    <w:rsid w:val="00181E01"/>
    <w:rsid w:val="0018505E"/>
    <w:rsid w:val="00187BD9"/>
    <w:rsid w:val="00190B55"/>
    <w:rsid w:val="0019128A"/>
    <w:rsid w:val="001978FA"/>
    <w:rsid w:val="001A0F27"/>
    <w:rsid w:val="001B2D63"/>
    <w:rsid w:val="001C3B5F"/>
    <w:rsid w:val="001C5AE2"/>
    <w:rsid w:val="001D058F"/>
    <w:rsid w:val="001D11C6"/>
    <w:rsid w:val="001D581B"/>
    <w:rsid w:val="001D77E9"/>
    <w:rsid w:val="001E1430"/>
    <w:rsid w:val="001E18A0"/>
    <w:rsid w:val="001E71DA"/>
    <w:rsid w:val="001F26C6"/>
    <w:rsid w:val="002009EA"/>
    <w:rsid w:val="00202CA0"/>
    <w:rsid w:val="00202CD1"/>
    <w:rsid w:val="00203880"/>
    <w:rsid w:val="002147EA"/>
    <w:rsid w:val="00216B6D"/>
    <w:rsid w:val="00227A78"/>
    <w:rsid w:val="0023235C"/>
    <w:rsid w:val="002326BE"/>
    <w:rsid w:val="002407C2"/>
    <w:rsid w:val="002451AF"/>
    <w:rsid w:val="00250AF4"/>
    <w:rsid w:val="002521FE"/>
    <w:rsid w:val="00261883"/>
    <w:rsid w:val="00262EB3"/>
    <w:rsid w:val="00263BF3"/>
    <w:rsid w:val="00267F36"/>
    <w:rsid w:val="00271316"/>
    <w:rsid w:val="002728A0"/>
    <w:rsid w:val="00283613"/>
    <w:rsid w:val="002A2758"/>
    <w:rsid w:val="002A38D7"/>
    <w:rsid w:val="002A6242"/>
    <w:rsid w:val="002A71EC"/>
    <w:rsid w:val="002A75A5"/>
    <w:rsid w:val="002B2A75"/>
    <w:rsid w:val="002B431C"/>
    <w:rsid w:val="002C32FE"/>
    <w:rsid w:val="002D3B71"/>
    <w:rsid w:val="002D4D50"/>
    <w:rsid w:val="002D58BE"/>
    <w:rsid w:val="002D7C40"/>
    <w:rsid w:val="002E210D"/>
    <w:rsid w:val="002F73E1"/>
    <w:rsid w:val="00300ED3"/>
    <w:rsid w:val="0031229F"/>
    <w:rsid w:val="00314FD7"/>
    <w:rsid w:val="003236A6"/>
    <w:rsid w:val="00332C56"/>
    <w:rsid w:val="00336305"/>
    <w:rsid w:val="00345A52"/>
    <w:rsid w:val="00346051"/>
    <w:rsid w:val="003468BE"/>
    <w:rsid w:val="0037467A"/>
    <w:rsid w:val="00377BD3"/>
    <w:rsid w:val="003832C0"/>
    <w:rsid w:val="0038340A"/>
    <w:rsid w:val="00383F3A"/>
    <w:rsid w:val="00384088"/>
    <w:rsid w:val="0039169B"/>
    <w:rsid w:val="003A28DE"/>
    <w:rsid w:val="003A5F4F"/>
    <w:rsid w:val="003A7F8C"/>
    <w:rsid w:val="003B532E"/>
    <w:rsid w:val="003C223D"/>
    <w:rsid w:val="003D0F8B"/>
    <w:rsid w:val="003D4470"/>
    <w:rsid w:val="003E4EBB"/>
    <w:rsid w:val="003F16DE"/>
    <w:rsid w:val="004045C0"/>
    <w:rsid w:val="004054F5"/>
    <w:rsid w:val="004079B0"/>
    <w:rsid w:val="00410C74"/>
    <w:rsid w:val="0041348E"/>
    <w:rsid w:val="00413C28"/>
    <w:rsid w:val="00417AD4"/>
    <w:rsid w:val="004258FD"/>
    <w:rsid w:val="00427AD3"/>
    <w:rsid w:val="004304EF"/>
    <w:rsid w:val="004436EF"/>
    <w:rsid w:val="00444030"/>
    <w:rsid w:val="0044680F"/>
    <w:rsid w:val="004508E2"/>
    <w:rsid w:val="00450E6C"/>
    <w:rsid w:val="00454614"/>
    <w:rsid w:val="00466B66"/>
    <w:rsid w:val="004672AF"/>
    <w:rsid w:val="00470EE3"/>
    <w:rsid w:val="00475D3D"/>
    <w:rsid w:val="00476533"/>
    <w:rsid w:val="0048167F"/>
    <w:rsid w:val="00485F0C"/>
    <w:rsid w:val="00492075"/>
    <w:rsid w:val="0049383B"/>
    <w:rsid w:val="004969AD"/>
    <w:rsid w:val="004A26C4"/>
    <w:rsid w:val="004B13CB"/>
    <w:rsid w:val="004B35D2"/>
    <w:rsid w:val="004B7D8C"/>
    <w:rsid w:val="004D5D5C"/>
    <w:rsid w:val="004D7E38"/>
    <w:rsid w:val="004E42A3"/>
    <w:rsid w:val="004E65E1"/>
    <w:rsid w:val="004F18E9"/>
    <w:rsid w:val="004F7748"/>
    <w:rsid w:val="0050139F"/>
    <w:rsid w:val="005033B9"/>
    <w:rsid w:val="00516E14"/>
    <w:rsid w:val="00521967"/>
    <w:rsid w:val="0052641C"/>
    <w:rsid w:val="00526703"/>
    <w:rsid w:val="00530525"/>
    <w:rsid w:val="0055140B"/>
    <w:rsid w:val="00560494"/>
    <w:rsid w:val="00564ECE"/>
    <w:rsid w:val="0058235F"/>
    <w:rsid w:val="00583AB3"/>
    <w:rsid w:val="00587E75"/>
    <w:rsid w:val="00595780"/>
    <w:rsid w:val="005961AB"/>
    <w:rsid w:val="005964AB"/>
    <w:rsid w:val="00596DA9"/>
    <w:rsid w:val="00597E97"/>
    <w:rsid w:val="005A0BC8"/>
    <w:rsid w:val="005A4FC2"/>
    <w:rsid w:val="005C099A"/>
    <w:rsid w:val="005C31A5"/>
    <w:rsid w:val="005E10C9"/>
    <w:rsid w:val="005E2534"/>
    <w:rsid w:val="005E28A3"/>
    <w:rsid w:val="005E61DD"/>
    <w:rsid w:val="005E76FA"/>
    <w:rsid w:val="005F5932"/>
    <w:rsid w:val="005F73DE"/>
    <w:rsid w:val="006023DF"/>
    <w:rsid w:val="00632067"/>
    <w:rsid w:val="00643587"/>
    <w:rsid w:val="00657DE0"/>
    <w:rsid w:val="00672796"/>
    <w:rsid w:val="0068043A"/>
    <w:rsid w:val="00683B87"/>
    <w:rsid w:val="00685313"/>
    <w:rsid w:val="006869ED"/>
    <w:rsid w:val="0069092B"/>
    <w:rsid w:val="00692833"/>
    <w:rsid w:val="006A3447"/>
    <w:rsid w:val="006A6E9B"/>
    <w:rsid w:val="006B249F"/>
    <w:rsid w:val="006B7C2A"/>
    <w:rsid w:val="006C23DA"/>
    <w:rsid w:val="006C328F"/>
    <w:rsid w:val="006C6C55"/>
    <w:rsid w:val="006D29A7"/>
    <w:rsid w:val="006D3FB8"/>
    <w:rsid w:val="006E013B"/>
    <w:rsid w:val="006E3D45"/>
    <w:rsid w:val="006E6331"/>
    <w:rsid w:val="006F3B37"/>
    <w:rsid w:val="006F3C57"/>
    <w:rsid w:val="006F580E"/>
    <w:rsid w:val="0070611F"/>
    <w:rsid w:val="007149F9"/>
    <w:rsid w:val="00733A30"/>
    <w:rsid w:val="00736521"/>
    <w:rsid w:val="00745AEE"/>
    <w:rsid w:val="007464DC"/>
    <w:rsid w:val="00750F10"/>
    <w:rsid w:val="0075143E"/>
    <w:rsid w:val="007570D0"/>
    <w:rsid w:val="00762763"/>
    <w:rsid w:val="007669EF"/>
    <w:rsid w:val="007716BA"/>
    <w:rsid w:val="0077341D"/>
    <w:rsid w:val="007742CA"/>
    <w:rsid w:val="00790D70"/>
    <w:rsid w:val="00791042"/>
    <w:rsid w:val="00792D00"/>
    <w:rsid w:val="00796ABD"/>
    <w:rsid w:val="007A05F0"/>
    <w:rsid w:val="007A4DC1"/>
    <w:rsid w:val="007B27AC"/>
    <w:rsid w:val="007C14CF"/>
    <w:rsid w:val="007C60A6"/>
    <w:rsid w:val="007D5320"/>
    <w:rsid w:val="007E5078"/>
    <w:rsid w:val="007E7328"/>
    <w:rsid w:val="007F28D8"/>
    <w:rsid w:val="008006C5"/>
    <w:rsid w:val="00800972"/>
    <w:rsid w:val="00801572"/>
    <w:rsid w:val="00804475"/>
    <w:rsid w:val="00811633"/>
    <w:rsid w:val="00813B79"/>
    <w:rsid w:val="00815B1D"/>
    <w:rsid w:val="0083103A"/>
    <w:rsid w:val="00831320"/>
    <w:rsid w:val="008404F3"/>
    <w:rsid w:val="008457F2"/>
    <w:rsid w:val="00861570"/>
    <w:rsid w:val="00864CD2"/>
    <w:rsid w:val="00866C85"/>
    <w:rsid w:val="00872FC8"/>
    <w:rsid w:val="008826C5"/>
    <w:rsid w:val="008845D0"/>
    <w:rsid w:val="008A1045"/>
    <w:rsid w:val="008A69FB"/>
    <w:rsid w:val="008B1AEA"/>
    <w:rsid w:val="008B43F2"/>
    <w:rsid w:val="008B6CFF"/>
    <w:rsid w:val="008C27E9"/>
    <w:rsid w:val="008C6BAA"/>
    <w:rsid w:val="008C7416"/>
    <w:rsid w:val="008E337B"/>
    <w:rsid w:val="008E3B60"/>
    <w:rsid w:val="008E4EC4"/>
    <w:rsid w:val="008F0A7D"/>
    <w:rsid w:val="008F1EAC"/>
    <w:rsid w:val="00901490"/>
    <w:rsid w:val="009019FD"/>
    <w:rsid w:val="00911914"/>
    <w:rsid w:val="0091215D"/>
    <w:rsid w:val="00913470"/>
    <w:rsid w:val="009210B9"/>
    <w:rsid w:val="0092216F"/>
    <w:rsid w:val="0092425C"/>
    <w:rsid w:val="009274B4"/>
    <w:rsid w:val="0093086C"/>
    <w:rsid w:val="00932BA1"/>
    <w:rsid w:val="00934EA2"/>
    <w:rsid w:val="00940614"/>
    <w:rsid w:val="00940E84"/>
    <w:rsid w:val="00944A5C"/>
    <w:rsid w:val="00952A66"/>
    <w:rsid w:val="00957670"/>
    <w:rsid w:val="00987C1F"/>
    <w:rsid w:val="0099474D"/>
    <w:rsid w:val="009A661D"/>
    <w:rsid w:val="009B4544"/>
    <w:rsid w:val="009B5AFE"/>
    <w:rsid w:val="009B78EA"/>
    <w:rsid w:val="009C3191"/>
    <w:rsid w:val="009C56E5"/>
    <w:rsid w:val="009D281F"/>
    <w:rsid w:val="009D3049"/>
    <w:rsid w:val="009E5FC8"/>
    <w:rsid w:val="009E687A"/>
    <w:rsid w:val="009F63E2"/>
    <w:rsid w:val="00A0092A"/>
    <w:rsid w:val="00A04EAF"/>
    <w:rsid w:val="00A066F1"/>
    <w:rsid w:val="00A141AF"/>
    <w:rsid w:val="00A16574"/>
    <w:rsid w:val="00A16D29"/>
    <w:rsid w:val="00A16FCA"/>
    <w:rsid w:val="00A21302"/>
    <w:rsid w:val="00A2552B"/>
    <w:rsid w:val="00A258A6"/>
    <w:rsid w:val="00A27C75"/>
    <w:rsid w:val="00A30305"/>
    <w:rsid w:val="00A31D2D"/>
    <w:rsid w:val="00A32E5B"/>
    <w:rsid w:val="00A414F9"/>
    <w:rsid w:val="00A4600A"/>
    <w:rsid w:val="00A538A6"/>
    <w:rsid w:val="00A54C25"/>
    <w:rsid w:val="00A61116"/>
    <w:rsid w:val="00A65285"/>
    <w:rsid w:val="00A710E7"/>
    <w:rsid w:val="00A7372E"/>
    <w:rsid w:val="00A76E35"/>
    <w:rsid w:val="00A811DC"/>
    <w:rsid w:val="00A82860"/>
    <w:rsid w:val="00A86BEC"/>
    <w:rsid w:val="00A90939"/>
    <w:rsid w:val="00A93B85"/>
    <w:rsid w:val="00A94A88"/>
    <w:rsid w:val="00AA0B18"/>
    <w:rsid w:val="00AA666F"/>
    <w:rsid w:val="00AB5A50"/>
    <w:rsid w:val="00AB7C5F"/>
    <w:rsid w:val="00AC26F2"/>
    <w:rsid w:val="00AD0C25"/>
    <w:rsid w:val="00AD6E5A"/>
    <w:rsid w:val="00AD6E73"/>
    <w:rsid w:val="00AE6807"/>
    <w:rsid w:val="00B01838"/>
    <w:rsid w:val="00B03894"/>
    <w:rsid w:val="00B168FB"/>
    <w:rsid w:val="00B27F8F"/>
    <w:rsid w:val="00B30AFD"/>
    <w:rsid w:val="00B31EF6"/>
    <w:rsid w:val="00B35F27"/>
    <w:rsid w:val="00B36723"/>
    <w:rsid w:val="00B403F4"/>
    <w:rsid w:val="00B441B9"/>
    <w:rsid w:val="00B639E9"/>
    <w:rsid w:val="00B65572"/>
    <w:rsid w:val="00B7536A"/>
    <w:rsid w:val="00B817CD"/>
    <w:rsid w:val="00B91523"/>
    <w:rsid w:val="00B94AD0"/>
    <w:rsid w:val="00B97B79"/>
    <w:rsid w:val="00BA5265"/>
    <w:rsid w:val="00BB3A95"/>
    <w:rsid w:val="00BB6D50"/>
    <w:rsid w:val="00BF28E9"/>
    <w:rsid w:val="00BF3F06"/>
    <w:rsid w:val="00BF54A5"/>
    <w:rsid w:val="00BF7BD2"/>
    <w:rsid w:val="00C0018F"/>
    <w:rsid w:val="00C11A35"/>
    <w:rsid w:val="00C1226B"/>
    <w:rsid w:val="00C12DB9"/>
    <w:rsid w:val="00C16A5A"/>
    <w:rsid w:val="00C20466"/>
    <w:rsid w:val="00C214ED"/>
    <w:rsid w:val="00C234E6"/>
    <w:rsid w:val="00C26BA2"/>
    <w:rsid w:val="00C324A8"/>
    <w:rsid w:val="00C44602"/>
    <w:rsid w:val="00C44E17"/>
    <w:rsid w:val="00C453D9"/>
    <w:rsid w:val="00C46BBB"/>
    <w:rsid w:val="00C54517"/>
    <w:rsid w:val="00C63D25"/>
    <w:rsid w:val="00C64CD8"/>
    <w:rsid w:val="00C65143"/>
    <w:rsid w:val="00C7274B"/>
    <w:rsid w:val="00C72C90"/>
    <w:rsid w:val="00C72D1B"/>
    <w:rsid w:val="00C94561"/>
    <w:rsid w:val="00C97C68"/>
    <w:rsid w:val="00CA1A47"/>
    <w:rsid w:val="00CA1B91"/>
    <w:rsid w:val="00CA6706"/>
    <w:rsid w:val="00CB4F8E"/>
    <w:rsid w:val="00CC247A"/>
    <w:rsid w:val="00CC72A1"/>
    <w:rsid w:val="00CD4506"/>
    <w:rsid w:val="00CE36EA"/>
    <w:rsid w:val="00CE388F"/>
    <w:rsid w:val="00CE5E47"/>
    <w:rsid w:val="00CE7BA8"/>
    <w:rsid w:val="00CF020F"/>
    <w:rsid w:val="00CF0FE8"/>
    <w:rsid w:val="00CF1BE8"/>
    <w:rsid w:val="00CF1E9D"/>
    <w:rsid w:val="00CF2532"/>
    <w:rsid w:val="00CF25EA"/>
    <w:rsid w:val="00CF2B5B"/>
    <w:rsid w:val="00D14CE0"/>
    <w:rsid w:val="00D157C9"/>
    <w:rsid w:val="00D24083"/>
    <w:rsid w:val="00D300B0"/>
    <w:rsid w:val="00D34F16"/>
    <w:rsid w:val="00D4480B"/>
    <w:rsid w:val="00D47901"/>
    <w:rsid w:val="00D54009"/>
    <w:rsid w:val="00D54782"/>
    <w:rsid w:val="00D55207"/>
    <w:rsid w:val="00D5651D"/>
    <w:rsid w:val="00D57A34"/>
    <w:rsid w:val="00D6112A"/>
    <w:rsid w:val="00D67F9F"/>
    <w:rsid w:val="00D739E2"/>
    <w:rsid w:val="00D74898"/>
    <w:rsid w:val="00D74903"/>
    <w:rsid w:val="00D801ED"/>
    <w:rsid w:val="00D83C0D"/>
    <w:rsid w:val="00D90EBA"/>
    <w:rsid w:val="00D936BC"/>
    <w:rsid w:val="00D96530"/>
    <w:rsid w:val="00DA0845"/>
    <w:rsid w:val="00DA0E2D"/>
    <w:rsid w:val="00DD0D53"/>
    <w:rsid w:val="00DD3BDA"/>
    <w:rsid w:val="00DD4242"/>
    <w:rsid w:val="00DD44AF"/>
    <w:rsid w:val="00DD5368"/>
    <w:rsid w:val="00DE0F3F"/>
    <w:rsid w:val="00DE2AC3"/>
    <w:rsid w:val="00DE4632"/>
    <w:rsid w:val="00DE5692"/>
    <w:rsid w:val="00DE7BBD"/>
    <w:rsid w:val="00E0340E"/>
    <w:rsid w:val="00E03C94"/>
    <w:rsid w:val="00E07AF5"/>
    <w:rsid w:val="00E11197"/>
    <w:rsid w:val="00E1378D"/>
    <w:rsid w:val="00E1498F"/>
    <w:rsid w:val="00E14E2A"/>
    <w:rsid w:val="00E26226"/>
    <w:rsid w:val="00E265C4"/>
    <w:rsid w:val="00E31236"/>
    <w:rsid w:val="00E341B0"/>
    <w:rsid w:val="00E40CDC"/>
    <w:rsid w:val="00E44C25"/>
    <w:rsid w:val="00E45D05"/>
    <w:rsid w:val="00E47A37"/>
    <w:rsid w:val="00E55816"/>
    <w:rsid w:val="00E55AEF"/>
    <w:rsid w:val="00E56193"/>
    <w:rsid w:val="00E64649"/>
    <w:rsid w:val="00E6647B"/>
    <w:rsid w:val="00E8026F"/>
    <w:rsid w:val="00E830DB"/>
    <w:rsid w:val="00E84ED7"/>
    <w:rsid w:val="00E86BC3"/>
    <w:rsid w:val="00E917FD"/>
    <w:rsid w:val="00E92C0B"/>
    <w:rsid w:val="00E950F7"/>
    <w:rsid w:val="00E976C1"/>
    <w:rsid w:val="00EA12E5"/>
    <w:rsid w:val="00EB55C6"/>
    <w:rsid w:val="00EB598D"/>
    <w:rsid w:val="00EB6721"/>
    <w:rsid w:val="00ED0889"/>
    <w:rsid w:val="00ED19EF"/>
    <w:rsid w:val="00ED5A14"/>
    <w:rsid w:val="00EE21D4"/>
    <w:rsid w:val="00EF21B2"/>
    <w:rsid w:val="00EF2B09"/>
    <w:rsid w:val="00F02766"/>
    <w:rsid w:val="00F05BD4"/>
    <w:rsid w:val="00F05C5D"/>
    <w:rsid w:val="00F061F7"/>
    <w:rsid w:val="00F112CC"/>
    <w:rsid w:val="00F140AB"/>
    <w:rsid w:val="00F15A39"/>
    <w:rsid w:val="00F250F8"/>
    <w:rsid w:val="00F26A93"/>
    <w:rsid w:val="00F35354"/>
    <w:rsid w:val="00F42C1D"/>
    <w:rsid w:val="00F6155B"/>
    <w:rsid w:val="00F65C19"/>
    <w:rsid w:val="00F73054"/>
    <w:rsid w:val="00F7356B"/>
    <w:rsid w:val="00F776DF"/>
    <w:rsid w:val="00F81CF8"/>
    <w:rsid w:val="00F840C7"/>
    <w:rsid w:val="00F87B6F"/>
    <w:rsid w:val="00F90AB0"/>
    <w:rsid w:val="00F9490E"/>
    <w:rsid w:val="00FA771F"/>
    <w:rsid w:val="00FB1B45"/>
    <w:rsid w:val="00FB2FC9"/>
    <w:rsid w:val="00FC525B"/>
    <w:rsid w:val="00FC6079"/>
    <w:rsid w:val="00FD2546"/>
    <w:rsid w:val="00FD3C51"/>
    <w:rsid w:val="00FD4244"/>
    <w:rsid w:val="00FD4E4C"/>
    <w:rsid w:val="00FD772E"/>
    <w:rsid w:val="00FE2587"/>
    <w:rsid w:val="00FE78C7"/>
    <w:rsid w:val="00FF3C84"/>
    <w:rsid w:val="00FF43AC"/>
    <w:rsid w:val="00FF56D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C80E9D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link w:val="CallChar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5F5932"/>
    <w:rPr>
      <w:color w:val="auto"/>
    </w:rPr>
  </w:style>
  <w:style w:type="character" w:customStyle="1" w:styleId="CallChar">
    <w:name w:val="Call Char"/>
    <w:link w:val="Call"/>
    <w:rsid w:val="00FB2FC9"/>
    <w:rPr>
      <w:rFonts w:ascii="Times New Roman" w:hAnsi="Times New Roman"/>
      <w:i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D42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2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24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244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244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457F2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a904b3-716d-4d0c-b782-72590b60a549">DPM</DPM_x0020_Author>
    <DPM_x0020_File_x0020_name xmlns="4fa904b3-716d-4d0c-b782-72590b60a549">T17-WTSA.20-C-0038!A25!MSW-F</DPM_x0020_File_x0020_name>
    <DPM_x0020_Version xmlns="4fa904b3-716d-4d0c-b782-72590b60a549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a904b3-716d-4d0c-b782-72590b60a549" targetNamespace="http://schemas.microsoft.com/office/2006/metadata/properties" ma:root="true" ma:fieldsID="d41af5c836d734370eb92e7ee5f83852" ns2:_="" ns3:_="">
    <xsd:import namespace="996b2e75-67fd-4955-a3b0-5ab9934cb50b"/>
    <xsd:import namespace="4fa904b3-716d-4d0c-b782-72590b60a5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04b3-716d-4d0c-b782-72590b60a5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0F36B-40BC-453A-945F-BF39B4539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04b3-716d-4d0c-b782-72590b60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a904b3-716d-4d0c-b782-72590b60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1800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T17-WTSA.20-C-0038!A25!MSW-F</vt:lpstr>
    </vt:vector>
  </TitlesOfParts>
  <Manager>General Secretariat - Pool</Manager>
  <Company>International Telecommunication Union (ITU)</Company>
  <LinksUpToDate>false</LinksUpToDate>
  <CharactersWithSpaces>12009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T17-WTSA.20-C-0038!A25!MSW-F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3</cp:revision>
  <cp:lastPrinted>2016-06-07T13:22:00Z</cp:lastPrinted>
  <dcterms:created xsi:type="dcterms:W3CDTF">2021-09-20T08:26:00Z</dcterms:created>
  <dcterms:modified xsi:type="dcterms:W3CDTF">2021-09-20T08:27:00Z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