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ayout w:type="fixed"/>
        <w:tblLook w:val="0000" w:firstRow="0" w:lastRow="0" w:firstColumn="0" w:lastColumn="0" w:noHBand="0" w:noVBand="0"/>
      </w:tblPr>
      <w:tblGrid>
        <w:gridCol w:w="6663"/>
        <w:gridCol w:w="3148"/>
      </w:tblGrid>
      <w:tr w:rsidR="00246525" w:rsidRPr="00426748" w14:paraId="7BDC1CC9" w14:textId="77777777" w:rsidTr="003F020A">
        <w:trPr>
          <w:cantSplit/>
        </w:trPr>
        <w:tc>
          <w:tcPr>
            <w:tcW w:w="6663" w:type="dxa"/>
            <w:vAlign w:val="center"/>
          </w:tcPr>
          <w:p w14:paraId="5D1F600A" w14:textId="24C975D3" w:rsidR="00246525" w:rsidRPr="00426748" w:rsidRDefault="00246525" w:rsidP="003F020A">
            <w:pPr>
              <w:pStyle w:val="TopHeader"/>
              <w:rPr>
                <w:sz w:val="22"/>
                <w:szCs w:val="22"/>
              </w:rPr>
            </w:pPr>
            <w:r w:rsidRPr="00742988">
              <w:rPr>
                <w:sz w:val="22"/>
                <w:szCs w:val="22"/>
              </w:rPr>
              <w:t>World Telecommunication Standardization Assembly (WTSA-20)</w:t>
            </w:r>
            <w:r w:rsidRPr="00742988">
              <w:rPr>
                <w:sz w:val="22"/>
                <w:szCs w:val="22"/>
              </w:rPr>
              <w:br/>
            </w:r>
            <w:r w:rsidR="00BC03D0">
              <w:rPr>
                <w:sz w:val="18"/>
                <w:szCs w:val="18"/>
              </w:rPr>
              <w:t>Geneva</w:t>
            </w:r>
            <w:r w:rsidR="001A5067">
              <w:rPr>
                <w:sz w:val="18"/>
                <w:szCs w:val="18"/>
              </w:rPr>
              <w:t>, 1</w:t>
            </w:r>
            <w:r w:rsidR="00245D4E">
              <w:rPr>
                <w:sz w:val="18"/>
                <w:szCs w:val="18"/>
              </w:rPr>
              <w:t>-</w:t>
            </w:r>
            <w:r w:rsidR="001A5067">
              <w:rPr>
                <w:sz w:val="18"/>
                <w:szCs w:val="18"/>
              </w:rPr>
              <w:t>9</w:t>
            </w:r>
            <w:r w:rsidR="00245D4E" w:rsidRPr="00CC2C86">
              <w:rPr>
                <w:sz w:val="18"/>
                <w:szCs w:val="18"/>
              </w:rPr>
              <w:t xml:space="preserve"> March 202</w:t>
            </w:r>
            <w:r w:rsidR="001A5067">
              <w:rPr>
                <w:sz w:val="18"/>
                <w:szCs w:val="18"/>
              </w:rPr>
              <w:t>2</w:t>
            </w:r>
          </w:p>
        </w:tc>
        <w:tc>
          <w:tcPr>
            <w:tcW w:w="3148" w:type="dxa"/>
            <w:vAlign w:val="center"/>
          </w:tcPr>
          <w:p w14:paraId="17B452E0" w14:textId="77777777" w:rsidR="00246525" w:rsidRPr="00E0753B" w:rsidRDefault="00246525" w:rsidP="003F020A">
            <w:pPr>
              <w:spacing w:before="0"/>
            </w:pPr>
            <w:r>
              <w:rPr>
                <w:noProof/>
                <w:lang w:eastAsia="zh-CN"/>
              </w:rPr>
              <w:drawing>
                <wp:inline distT="0" distB="0" distL="0" distR="0" wp14:anchorId="27BC8006" wp14:editId="05883BFA">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BC7D84" w:rsidRPr="003251EA" w14:paraId="08341B94" w14:textId="77777777" w:rsidTr="003F020A">
        <w:trPr>
          <w:cantSplit/>
        </w:trPr>
        <w:tc>
          <w:tcPr>
            <w:tcW w:w="6663" w:type="dxa"/>
            <w:tcBorders>
              <w:bottom w:val="single" w:sz="12" w:space="0" w:color="auto"/>
            </w:tcBorders>
          </w:tcPr>
          <w:p w14:paraId="46493AD0" w14:textId="77777777" w:rsidR="00BC7D84" w:rsidRPr="003251EA" w:rsidRDefault="00BC7D84" w:rsidP="003F020A">
            <w:pPr>
              <w:pStyle w:val="TopHeader"/>
              <w:spacing w:before="60"/>
              <w:rPr>
                <w:sz w:val="20"/>
                <w:szCs w:val="20"/>
              </w:rPr>
            </w:pPr>
          </w:p>
        </w:tc>
        <w:tc>
          <w:tcPr>
            <w:tcW w:w="3148" w:type="dxa"/>
            <w:tcBorders>
              <w:bottom w:val="single" w:sz="12" w:space="0" w:color="auto"/>
            </w:tcBorders>
          </w:tcPr>
          <w:p w14:paraId="026217B5" w14:textId="77777777" w:rsidR="00BC7D84" w:rsidRPr="003251EA" w:rsidRDefault="00BC7D84" w:rsidP="003F020A">
            <w:pPr>
              <w:spacing w:before="0"/>
              <w:rPr>
                <w:sz w:val="20"/>
              </w:rPr>
            </w:pPr>
          </w:p>
        </w:tc>
      </w:tr>
      <w:tr w:rsidR="00BC7D84" w:rsidRPr="003251EA" w14:paraId="7029548C" w14:textId="77777777" w:rsidTr="003F020A">
        <w:trPr>
          <w:cantSplit/>
        </w:trPr>
        <w:tc>
          <w:tcPr>
            <w:tcW w:w="6663" w:type="dxa"/>
            <w:tcBorders>
              <w:top w:val="single" w:sz="12" w:space="0" w:color="auto"/>
            </w:tcBorders>
          </w:tcPr>
          <w:p w14:paraId="52129F4F" w14:textId="77777777" w:rsidR="00BC7D84" w:rsidRPr="003251EA" w:rsidRDefault="00BC7D84" w:rsidP="003F020A">
            <w:pPr>
              <w:spacing w:before="0"/>
              <w:rPr>
                <w:sz w:val="20"/>
              </w:rPr>
            </w:pPr>
          </w:p>
        </w:tc>
        <w:tc>
          <w:tcPr>
            <w:tcW w:w="3148" w:type="dxa"/>
          </w:tcPr>
          <w:p w14:paraId="2F76806B" w14:textId="77777777" w:rsidR="00BC7D84" w:rsidRPr="003251EA" w:rsidRDefault="00BC7D84" w:rsidP="003F020A">
            <w:pPr>
              <w:spacing w:before="0"/>
              <w:rPr>
                <w:rFonts w:ascii="Verdana" w:hAnsi="Verdana"/>
                <w:b/>
                <w:bCs/>
                <w:sz w:val="20"/>
              </w:rPr>
            </w:pPr>
          </w:p>
        </w:tc>
      </w:tr>
      <w:tr w:rsidR="00BC7D84" w:rsidRPr="003251EA" w14:paraId="50C802C7" w14:textId="77777777" w:rsidTr="003F020A">
        <w:trPr>
          <w:cantSplit/>
        </w:trPr>
        <w:tc>
          <w:tcPr>
            <w:tcW w:w="6663" w:type="dxa"/>
          </w:tcPr>
          <w:p w14:paraId="7C9D6A3A" w14:textId="77777777" w:rsidR="00BC7D84" w:rsidRPr="00420EDB" w:rsidRDefault="00AB416A" w:rsidP="003F020A">
            <w:pPr>
              <w:pStyle w:val="Committee"/>
            </w:pPr>
            <w:r>
              <w:t>PLENARY MEETING</w:t>
            </w:r>
          </w:p>
        </w:tc>
        <w:tc>
          <w:tcPr>
            <w:tcW w:w="3148" w:type="dxa"/>
          </w:tcPr>
          <w:p w14:paraId="3E013E83" w14:textId="77777777" w:rsidR="00BC7D84" w:rsidRPr="003251EA" w:rsidRDefault="00BC7D84" w:rsidP="003F020A">
            <w:pPr>
              <w:pStyle w:val="Docnumber"/>
              <w:ind w:left="-57"/>
            </w:pPr>
            <w:r>
              <w:t>Addendum 24 to</w:t>
            </w:r>
            <w:r>
              <w:br/>
              <w:t>Document 38</w:t>
            </w:r>
            <w:r w:rsidRPr="0056747D">
              <w:t>-</w:t>
            </w:r>
            <w:r w:rsidRPr="003251EA">
              <w:t>E</w:t>
            </w:r>
          </w:p>
        </w:tc>
      </w:tr>
      <w:tr w:rsidR="00BC7D84" w:rsidRPr="003251EA" w14:paraId="3C3AD666" w14:textId="77777777" w:rsidTr="003F020A">
        <w:trPr>
          <w:cantSplit/>
        </w:trPr>
        <w:tc>
          <w:tcPr>
            <w:tcW w:w="6663" w:type="dxa"/>
          </w:tcPr>
          <w:p w14:paraId="241F684F" w14:textId="77777777" w:rsidR="00BC7D84" w:rsidRPr="003251EA" w:rsidRDefault="00BC7D84" w:rsidP="003F020A">
            <w:pPr>
              <w:spacing w:before="0"/>
              <w:rPr>
                <w:sz w:val="20"/>
              </w:rPr>
            </w:pPr>
          </w:p>
        </w:tc>
        <w:tc>
          <w:tcPr>
            <w:tcW w:w="3148" w:type="dxa"/>
          </w:tcPr>
          <w:p w14:paraId="63F15445" w14:textId="77777777" w:rsidR="00BC7D84" w:rsidRPr="00622829" w:rsidRDefault="00BC7D84" w:rsidP="00622829">
            <w:pPr>
              <w:spacing w:before="0"/>
              <w:ind w:left="-57"/>
              <w:rPr>
                <w:rFonts w:ascii="Verdana" w:hAnsi="Verdana"/>
                <w:b/>
                <w:bCs/>
                <w:sz w:val="20"/>
                <w:szCs w:val="16"/>
              </w:rPr>
            </w:pPr>
            <w:r w:rsidRPr="00622829">
              <w:rPr>
                <w:rFonts w:ascii="Verdana" w:hAnsi="Verdana"/>
                <w:b/>
                <w:bCs/>
                <w:sz w:val="20"/>
                <w:szCs w:val="16"/>
              </w:rPr>
              <w:t>5 May 2021</w:t>
            </w:r>
          </w:p>
        </w:tc>
      </w:tr>
      <w:tr w:rsidR="00BC7D84" w:rsidRPr="003251EA" w14:paraId="1E200EC5" w14:textId="77777777" w:rsidTr="003F020A">
        <w:trPr>
          <w:cantSplit/>
        </w:trPr>
        <w:tc>
          <w:tcPr>
            <w:tcW w:w="6663" w:type="dxa"/>
          </w:tcPr>
          <w:p w14:paraId="383FE025" w14:textId="77777777" w:rsidR="00BC7D84" w:rsidRPr="003251EA" w:rsidRDefault="00BC7D84" w:rsidP="003F020A">
            <w:pPr>
              <w:spacing w:before="0"/>
              <w:rPr>
                <w:sz w:val="20"/>
              </w:rPr>
            </w:pPr>
          </w:p>
        </w:tc>
        <w:tc>
          <w:tcPr>
            <w:tcW w:w="3148" w:type="dxa"/>
          </w:tcPr>
          <w:p w14:paraId="0586C429" w14:textId="77777777" w:rsidR="00BC7D84" w:rsidRPr="00622829" w:rsidRDefault="00BC7D84" w:rsidP="00622829">
            <w:pPr>
              <w:spacing w:before="0"/>
              <w:ind w:left="-57"/>
              <w:rPr>
                <w:rFonts w:ascii="Verdana" w:hAnsi="Verdana"/>
                <w:b/>
                <w:bCs/>
                <w:sz w:val="20"/>
                <w:szCs w:val="16"/>
              </w:rPr>
            </w:pPr>
            <w:r w:rsidRPr="00622829">
              <w:rPr>
                <w:rFonts w:ascii="Verdana" w:hAnsi="Verdana"/>
                <w:b/>
                <w:bCs/>
                <w:sz w:val="20"/>
                <w:szCs w:val="16"/>
              </w:rPr>
              <w:t>Original: English</w:t>
            </w:r>
          </w:p>
        </w:tc>
      </w:tr>
      <w:tr w:rsidR="00BC7D84" w:rsidRPr="003251EA" w14:paraId="04CEA2F8" w14:textId="77777777" w:rsidTr="003F020A">
        <w:trPr>
          <w:cantSplit/>
        </w:trPr>
        <w:tc>
          <w:tcPr>
            <w:tcW w:w="9811" w:type="dxa"/>
            <w:gridSpan w:val="2"/>
          </w:tcPr>
          <w:p w14:paraId="4EE3660B" w14:textId="77777777" w:rsidR="00BC7D84" w:rsidRPr="003251EA" w:rsidRDefault="00BC7D84" w:rsidP="003F020A">
            <w:pPr>
              <w:pStyle w:val="TopHeader"/>
              <w:spacing w:before="0"/>
              <w:rPr>
                <w:sz w:val="20"/>
                <w:szCs w:val="20"/>
              </w:rPr>
            </w:pPr>
          </w:p>
        </w:tc>
      </w:tr>
      <w:tr w:rsidR="00BC7D84" w:rsidRPr="00426748" w14:paraId="14F38D11" w14:textId="77777777" w:rsidTr="003F020A">
        <w:trPr>
          <w:cantSplit/>
        </w:trPr>
        <w:tc>
          <w:tcPr>
            <w:tcW w:w="9811" w:type="dxa"/>
            <w:gridSpan w:val="2"/>
          </w:tcPr>
          <w:p w14:paraId="064EB7F3" w14:textId="77777777" w:rsidR="00BC7D84" w:rsidRPr="00D643B3" w:rsidRDefault="00BC7D84" w:rsidP="003F020A">
            <w:pPr>
              <w:pStyle w:val="Source"/>
              <w:rPr>
                <w:highlight w:val="yellow"/>
              </w:rPr>
            </w:pPr>
            <w:r>
              <w:t>Member States of European Conference of Postal and Telecommunications Administrations (CEPT)</w:t>
            </w:r>
          </w:p>
        </w:tc>
      </w:tr>
      <w:tr w:rsidR="00BC7D84" w:rsidRPr="00426748" w14:paraId="2AF47278" w14:textId="77777777" w:rsidTr="003F020A">
        <w:trPr>
          <w:cantSplit/>
        </w:trPr>
        <w:tc>
          <w:tcPr>
            <w:tcW w:w="9811" w:type="dxa"/>
            <w:gridSpan w:val="2"/>
          </w:tcPr>
          <w:p w14:paraId="5E7789F5" w14:textId="77777777" w:rsidR="00BC7D84" w:rsidRPr="00D643B3" w:rsidRDefault="00BC7D84" w:rsidP="003F020A">
            <w:pPr>
              <w:pStyle w:val="Title1"/>
              <w:rPr>
                <w:highlight w:val="yellow"/>
              </w:rPr>
            </w:pPr>
            <w:r>
              <w:t>Proposed modification of Resolution 20</w:t>
            </w:r>
          </w:p>
        </w:tc>
      </w:tr>
      <w:tr w:rsidR="00BC7D84" w:rsidRPr="00426748" w14:paraId="44466DB3" w14:textId="77777777" w:rsidTr="003F020A">
        <w:trPr>
          <w:cantSplit/>
        </w:trPr>
        <w:tc>
          <w:tcPr>
            <w:tcW w:w="9811" w:type="dxa"/>
            <w:gridSpan w:val="2"/>
          </w:tcPr>
          <w:p w14:paraId="7ED81FBC" w14:textId="77777777" w:rsidR="00BC7D84" w:rsidRDefault="00BC7D84" w:rsidP="003F020A">
            <w:pPr>
              <w:pStyle w:val="Title2"/>
            </w:pPr>
          </w:p>
        </w:tc>
      </w:tr>
      <w:tr w:rsidR="00BC7D84" w:rsidRPr="00426748" w14:paraId="4B5C8ADE" w14:textId="77777777" w:rsidTr="004F630A">
        <w:trPr>
          <w:cantSplit/>
          <w:trHeight w:hRule="exact" w:val="120"/>
        </w:trPr>
        <w:tc>
          <w:tcPr>
            <w:tcW w:w="9811" w:type="dxa"/>
            <w:gridSpan w:val="2"/>
          </w:tcPr>
          <w:p w14:paraId="5CEB5659" w14:textId="77777777" w:rsidR="00BC7D84" w:rsidRDefault="00BC7D84" w:rsidP="003F020A">
            <w:pPr>
              <w:pStyle w:val="Agendaitem"/>
            </w:pPr>
          </w:p>
        </w:tc>
      </w:tr>
    </w:tbl>
    <w:p w14:paraId="38484E20" w14:textId="77777777" w:rsidR="009E1967" w:rsidRDefault="009E1967" w:rsidP="009E1967"/>
    <w:tbl>
      <w:tblPr>
        <w:tblpPr w:leftFromText="180" w:rightFromText="180" w:vertAnchor="text" w:tblpY="1"/>
        <w:tblOverlap w:val="never"/>
        <w:tblW w:w="5089" w:type="pct"/>
        <w:tblLayout w:type="fixed"/>
        <w:tblLook w:val="0000" w:firstRow="0" w:lastRow="0" w:firstColumn="0" w:lastColumn="0" w:noHBand="0" w:noVBand="0"/>
      </w:tblPr>
      <w:tblGrid>
        <w:gridCol w:w="1912"/>
        <w:gridCol w:w="7899"/>
      </w:tblGrid>
      <w:tr w:rsidR="002957A7" w:rsidRPr="002957A7" w14:paraId="3D402AF2" w14:textId="77777777" w:rsidTr="00777235">
        <w:trPr>
          <w:cantSplit/>
        </w:trPr>
        <w:tc>
          <w:tcPr>
            <w:tcW w:w="1912" w:type="dxa"/>
          </w:tcPr>
          <w:p w14:paraId="48E9F58B" w14:textId="77777777" w:rsidR="009E1967" w:rsidRPr="00426748" w:rsidRDefault="009E1967" w:rsidP="00D055D3">
            <w:r w:rsidRPr="008F7104">
              <w:rPr>
                <w:b/>
                <w:bCs/>
              </w:rPr>
              <w:t>Abstract:</w:t>
            </w:r>
          </w:p>
        </w:tc>
        <w:tc>
          <w:tcPr>
            <w:tcW w:w="7899" w:type="dxa"/>
          </w:tcPr>
          <w:p w14:paraId="527DC01E" w14:textId="77777777" w:rsidR="009E1967" w:rsidRPr="002957A7" w:rsidRDefault="00FC2A73" w:rsidP="006714A3">
            <w:r w:rsidRPr="00FC2A73">
              <w:t>This contribution provides the European view on the  Procedures for allocation and management of international telecommunication numbering, naming, addressing and identification resources</w:t>
            </w:r>
            <w:r>
              <w:t>.</w:t>
            </w:r>
          </w:p>
        </w:tc>
      </w:tr>
    </w:tbl>
    <w:p w14:paraId="61BC5CE7" w14:textId="77777777" w:rsidR="00ED30BC" w:rsidRPr="00BC03D0" w:rsidRDefault="00FC2A73" w:rsidP="00FC2A73">
      <w:pPr>
        <w:pStyle w:val="Headingb"/>
        <w:rPr>
          <w:lang w:val="en-US"/>
        </w:rPr>
      </w:pPr>
      <w:r w:rsidRPr="00BC03D0">
        <w:rPr>
          <w:lang w:val="en-US"/>
        </w:rPr>
        <w:t>Introduction</w:t>
      </w:r>
    </w:p>
    <w:p w14:paraId="124505B4" w14:textId="77777777" w:rsidR="00FC2A73" w:rsidRDefault="00FC2A73" w:rsidP="00A41A0D">
      <w:r w:rsidRPr="00FC2A73">
        <w:t>The proposal brings clarity into the wording of the current text when preparing the numbering aspects (NNAI) for their future telecommunications/ICT based on the issues that are being presented on and discussed in ITU-T SG2s. The references to the “numbering</w:t>
      </w:r>
      <w:r>
        <w:t>,</w:t>
      </w:r>
      <w:r w:rsidRPr="00FC2A73">
        <w:t xml:space="preserve"> naming</w:t>
      </w:r>
      <w:r>
        <w:t>,</w:t>
      </w:r>
      <w:r w:rsidRPr="00FC2A73">
        <w:t xml:space="preserve"> addressing</w:t>
      </w:r>
      <w:r>
        <w:t>,</w:t>
      </w:r>
      <w:r w:rsidRPr="00FC2A73">
        <w:t xml:space="preserve"> identification” (NNAI) aspects are clarified and used in a coherent manner.</w:t>
      </w:r>
    </w:p>
    <w:p w14:paraId="7CF8808F" w14:textId="77777777" w:rsidR="00FC2A73" w:rsidRPr="00BC03D0" w:rsidRDefault="00FC2A73" w:rsidP="00FC2A73">
      <w:pPr>
        <w:pStyle w:val="Headingb"/>
        <w:rPr>
          <w:lang w:val="en-US"/>
        </w:rPr>
      </w:pPr>
      <w:r w:rsidRPr="00BC03D0">
        <w:rPr>
          <w:lang w:val="en-US"/>
        </w:rPr>
        <w:t>Proposal</w:t>
      </w:r>
    </w:p>
    <w:p w14:paraId="6468FAAA" w14:textId="77777777" w:rsidR="00FC2A73" w:rsidRPr="00A41A0D" w:rsidRDefault="00FC2A73" w:rsidP="00A41A0D">
      <w:r w:rsidRPr="00A17D7E">
        <w:rPr>
          <w:szCs w:val="24"/>
          <w:lang w:val="en-US"/>
        </w:rPr>
        <w:t>Europe</w:t>
      </w:r>
      <w:r>
        <w:rPr>
          <w:lang w:val="en-US"/>
        </w:rPr>
        <w:t xml:space="preserve"> proposes the amendments to WTSA Resolution 20 as set out below</w:t>
      </w:r>
      <w:r w:rsidRPr="00A17D7E">
        <w:rPr>
          <w:szCs w:val="24"/>
          <w:lang w:val="en-US"/>
        </w:rPr>
        <w:t>.</w:t>
      </w:r>
    </w:p>
    <w:p w14:paraId="2A652A65" w14:textId="77777777" w:rsidR="00ED30BC" w:rsidRPr="00A41A0D" w:rsidRDefault="00ED30BC" w:rsidP="00A41A0D">
      <w:r w:rsidRPr="00A41A0D">
        <w:br w:type="page"/>
      </w:r>
    </w:p>
    <w:p w14:paraId="061827FB" w14:textId="77777777" w:rsidR="009E1967" w:rsidRDefault="009E1967" w:rsidP="00A41A0D"/>
    <w:p w14:paraId="67C28001" w14:textId="77777777" w:rsidR="000D4E17" w:rsidRDefault="006810C3">
      <w:pPr>
        <w:pStyle w:val="Proposal"/>
      </w:pPr>
      <w:r>
        <w:t>MOD</w:t>
      </w:r>
      <w:r>
        <w:tab/>
        <w:t>EUR/38A24/1</w:t>
      </w:r>
    </w:p>
    <w:p w14:paraId="2BB58C91" w14:textId="20A74396" w:rsidR="00ED32D6" w:rsidRPr="00D23311" w:rsidRDefault="006810C3" w:rsidP="00ED32D6">
      <w:pPr>
        <w:pStyle w:val="ResNo"/>
      </w:pPr>
      <w:bookmarkStart w:id="0" w:name="_Toc475345225"/>
      <w:r w:rsidRPr="00D23311">
        <w:t xml:space="preserve">RESOLUTION </w:t>
      </w:r>
      <w:r w:rsidRPr="00D23311">
        <w:rPr>
          <w:rStyle w:val="href"/>
        </w:rPr>
        <w:t xml:space="preserve">20 </w:t>
      </w:r>
      <w:r w:rsidRPr="00D23311">
        <w:t>(Rev.</w:t>
      </w:r>
      <w:r w:rsidRPr="00D23311">
        <w:t> </w:t>
      </w:r>
      <w:del w:id="1" w:author="TSB (RC)" w:date="2021-07-22T14:44:00Z">
        <w:r w:rsidRPr="00D23311" w:rsidDel="00FC2A73">
          <w:delText>Hammamet, 2016</w:delText>
        </w:r>
      </w:del>
      <w:ins w:id="2" w:author="Scott, Sarah" w:date="2021-09-17T19:38:00Z">
        <w:r w:rsidR="00BC03D0">
          <w:t>Geneva</w:t>
        </w:r>
      </w:ins>
      <w:ins w:id="3" w:author="TSB (RC)" w:date="2021-07-22T14:44:00Z">
        <w:r w:rsidR="00FC2A73">
          <w:t>, 2022</w:t>
        </w:r>
      </w:ins>
      <w:r w:rsidRPr="00D23311">
        <w:t>)</w:t>
      </w:r>
      <w:bookmarkEnd w:id="0"/>
    </w:p>
    <w:p w14:paraId="6EDE6739" w14:textId="77777777" w:rsidR="00ED32D6" w:rsidRPr="00D23311" w:rsidRDefault="006810C3" w:rsidP="00ED32D6">
      <w:pPr>
        <w:pStyle w:val="Restitle"/>
      </w:pPr>
      <w:bookmarkStart w:id="4" w:name="_Toc475345226"/>
      <w:r w:rsidRPr="00D23311">
        <w:t>Procedures for allocation and management of international telecommunication numbering, naming, addressing and identification resources</w:t>
      </w:r>
      <w:bookmarkEnd w:id="4"/>
    </w:p>
    <w:p w14:paraId="652AD9A9" w14:textId="7A3D5D8B" w:rsidR="00ED32D6" w:rsidRPr="00D23311" w:rsidRDefault="006810C3" w:rsidP="00ED32D6">
      <w:pPr>
        <w:pStyle w:val="Resref"/>
      </w:pPr>
      <w:r w:rsidRPr="00D23311">
        <w:t xml:space="preserve">(Helsinki, 1993; Geneva, 1996; Montreal, 2000; Florianópolis, 2004; </w:t>
      </w:r>
      <w:r w:rsidRPr="00D23311">
        <w:br/>
        <w:t xml:space="preserve">Johannesburg, 2008; Dubai, 2012; </w:t>
      </w:r>
      <w:proofErr w:type="spellStart"/>
      <w:r w:rsidRPr="00D23311">
        <w:t>Hammamet</w:t>
      </w:r>
      <w:proofErr w:type="spellEnd"/>
      <w:r w:rsidRPr="00D23311">
        <w:t>, 2016</w:t>
      </w:r>
      <w:ins w:id="5" w:author="TSB (RC)" w:date="2021-07-22T14:44:00Z">
        <w:r w:rsidR="00FC2A73">
          <w:t>;</w:t>
        </w:r>
      </w:ins>
      <w:ins w:id="6" w:author="Scott, Sarah" w:date="2021-09-17T19:38:00Z">
        <w:r w:rsidR="00BC03D0">
          <w:t>Geneva</w:t>
        </w:r>
      </w:ins>
      <w:ins w:id="7" w:author="TSB (RC)" w:date="2021-07-22T14:44:00Z">
        <w:r w:rsidR="00FC2A73">
          <w:t>, 2022</w:t>
        </w:r>
      </w:ins>
      <w:r w:rsidRPr="00D23311">
        <w:t>)</w:t>
      </w:r>
    </w:p>
    <w:p w14:paraId="37ED0E39" w14:textId="321CFDB8" w:rsidR="00ED32D6" w:rsidRPr="00D23311" w:rsidRDefault="006810C3" w:rsidP="003810B0">
      <w:pPr>
        <w:pStyle w:val="Normalaftertitle0"/>
      </w:pPr>
      <w:r w:rsidRPr="00D23311">
        <w:t>The World Telecommunication Standardization Assembly (</w:t>
      </w:r>
      <w:del w:id="8" w:author="TSB (RC)" w:date="2021-07-22T14:44:00Z">
        <w:r w:rsidRPr="00D23311" w:rsidDel="00FC2A73">
          <w:delText>Hammamet, 2016</w:delText>
        </w:r>
      </w:del>
      <w:ins w:id="9" w:author="Scott, Sarah" w:date="2021-09-17T19:39:00Z">
        <w:r w:rsidR="00BC03D0">
          <w:t>Geneva</w:t>
        </w:r>
      </w:ins>
      <w:ins w:id="10" w:author="TSB (RC)" w:date="2021-07-22T14:44:00Z">
        <w:r w:rsidR="00FC2A73">
          <w:t>, 2022</w:t>
        </w:r>
      </w:ins>
      <w:r w:rsidRPr="00D23311">
        <w:t>),</w:t>
      </w:r>
    </w:p>
    <w:p w14:paraId="1C4774C7" w14:textId="77777777" w:rsidR="00ED32D6" w:rsidRPr="00D23311" w:rsidRDefault="006810C3" w:rsidP="00ED32D6">
      <w:pPr>
        <w:pStyle w:val="Call"/>
      </w:pPr>
      <w:r w:rsidRPr="00D23311">
        <w:t>recognizing</w:t>
      </w:r>
    </w:p>
    <w:p w14:paraId="7C57C87C" w14:textId="77777777" w:rsidR="00ED32D6" w:rsidRPr="00D23311" w:rsidRDefault="006810C3" w:rsidP="003810B0">
      <w:r w:rsidRPr="00D23311">
        <w:rPr>
          <w:i/>
          <w:iCs/>
        </w:rPr>
        <w:t>a)</w:t>
      </w:r>
      <w:r w:rsidRPr="00D23311">
        <w:tab/>
        <w:t xml:space="preserve">the relevant rules of the International Telecommunication Regulations </w:t>
      </w:r>
      <w:ins w:id="11" w:author="TSB (RC)" w:date="2021-07-22T14:44:00Z">
        <w:r w:rsidR="00FC2A73">
          <w:t xml:space="preserve">(Dubai, 2012) </w:t>
        </w:r>
      </w:ins>
      <w:r w:rsidRPr="00D23311">
        <w:t>regarding the integrity and use of numbering resources and calling line identification;</w:t>
      </w:r>
    </w:p>
    <w:p w14:paraId="4EB34737" w14:textId="77777777" w:rsidR="00ED32D6" w:rsidRPr="00D23311" w:rsidRDefault="006810C3" w:rsidP="003810B0">
      <w:r w:rsidRPr="00D23311">
        <w:rPr>
          <w:i/>
          <w:iCs/>
        </w:rPr>
        <w:t>b)</w:t>
      </w:r>
      <w:r w:rsidRPr="00D23311">
        <w:tab/>
        <w:t>the instructions in the resolutions adopted by plenipotentiary conferences relevant for the stability of numbering and identification plans, especially the ITU</w:t>
      </w:r>
      <w:r w:rsidRPr="00D23311">
        <w:noBreakHyphen/>
        <w:t>T E.164 and ITU</w:t>
      </w:r>
      <w:r w:rsidRPr="00D23311">
        <w:noBreakHyphen/>
        <w:t>T E.212 plans, and in particular in Resolution 133 (Rev. Busan, 2014) of the Plenipotentiary Conference, where it resolves to instruct the Secretary-General and the Directors of the Bureaux: "to take any necessary action to ensure the sovereignty of ITU Member States with regard to Recommendation ITU</w:t>
      </w:r>
      <w:r w:rsidRPr="00D23311">
        <w:noBreakHyphen/>
        <w:t>T E.164 numbering plans whatever the application in which they are used";</w:t>
      </w:r>
    </w:p>
    <w:p w14:paraId="4EBFE0B9" w14:textId="77777777" w:rsidR="00ED32D6" w:rsidRPr="00D23311" w:rsidRDefault="006810C3" w:rsidP="003810B0">
      <w:r w:rsidRPr="00D23311">
        <w:rPr>
          <w:i/>
          <w:iCs/>
        </w:rPr>
        <w:t>c)</w:t>
      </w:r>
      <w:r w:rsidRPr="00D23311">
        <w:tab/>
        <w:t>Resolution 49 (Rev. Hammamet, 2016) of this assembly, on ENUM,</w:t>
      </w:r>
    </w:p>
    <w:p w14:paraId="321CE795" w14:textId="77777777" w:rsidR="00ED32D6" w:rsidRPr="00D23311" w:rsidRDefault="006810C3" w:rsidP="00ED32D6">
      <w:pPr>
        <w:pStyle w:val="Call"/>
      </w:pPr>
      <w:r w:rsidRPr="00D23311">
        <w:t>noting</w:t>
      </w:r>
    </w:p>
    <w:p w14:paraId="19ED18D2" w14:textId="77777777" w:rsidR="00ED32D6" w:rsidRPr="00D23311" w:rsidRDefault="006810C3" w:rsidP="003810B0">
      <w:r w:rsidRPr="00D23311">
        <w:rPr>
          <w:i/>
          <w:iCs/>
        </w:rPr>
        <w:t>a)</w:t>
      </w:r>
      <w:r w:rsidRPr="00D23311">
        <w:tab/>
        <w:t xml:space="preserve">that the procedures governing the allocation and management of international telecommunication numbering, naming, addressing and identification (NNAI) resources and related codes </w:t>
      </w:r>
      <w:del w:id="12" w:author="TSB (RC)" w:date="2021-07-22T14:45:00Z">
        <w:r w:rsidRPr="00D23311" w:rsidDel="00FC2A73">
          <w:delText>(e.g. new telephone country codes, telex destination codes, signalling area/network codes, data country codes, mobile country codes, identification)</w:delText>
        </w:r>
      </w:del>
      <w:r w:rsidRPr="00D23311">
        <w:t xml:space="preserve">, including ENUM, are laid down in the relevant </w:t>
      </w:r>
      <w:ins w:id="13" w:author="TSB (RC)" w:date="2021-07-22T14:45:00Z">
        <w:r w:rsidR="00FC2A73">
          <w:t xml:space="preserve">ITU-T </w:t>
        </w:r>
      </w:ins>
      <w:r w:rsidRPr="00D23311">
        <w:t>Recommendations</w:t>
      </w:r>
      <w:del w:id="14" w:author="TSB (RC)" w:date="2021-07-22T14:45:00Z">
        <w:r w:rsidRPr="00D23311" w:rsidDel="00FC2A73">
          <w:delText xml:space="preserve"> in the ITU</w:delText>
        </w:r>
        <w:r w:rsidRPr="00D23311" w:rsidDel="00FC2A73">
          <w:noBreakHyphen/>
          <w:delText>T E-, ITU</w:delText>
        </w:r>
        <w:r w:rsidRPr="00D23311" w:rsidDel="00FC2A73">
          <w:noBreakHyphen/>
          <w:delText>T F-, ITU</w:delText>
        </w:r>
        <w:r w:rsidRPr="00D23311" w:rsidDel="00FC2A73">
          <w:noBreakHyphen/>
          <w:delText>T Q- and ITU</w:delText>
        </w:r>
        <w:r w:rsidRPr="00D23311" w:rsidDel="00FC2A73">
          <w:noBreakHyphen/>
          <w:delText>T X-series</w:delText>
        </w:r>
      </w:del>
      <w:r w:rsidRPr="00D23311">
        <w:t>;</w:t>
      </w:r>
    </w:p>
    <w:p w14:paraId="37DDF406" w14:textId="77777777" w:rsidR="00ED32D6" w:rsidRPr="00D23311" w:rsidRDefault="006810C3" w:rsidP="003810B0">
      <w:r w:rsidRPr="00D23311">
        <w:rPr>
          <w:i/>
          <w:iCs/>
        </w:rPr>
        <w:t>b)</w:t>
      </w:r>
      <w:r w:rsidRPr="00D23311">
        <w:tab/>
        <w:t>that the principles concerning future NNAI plans to deal with emerging services or applications and relevant NNAI resource allocation procedures to meet international telecommunication needs will be studied in accordance with this resolution and the work programme approved by this assembly for study groups of the ITU Telecommunication Standardization Sector (ITU</w:t>
      </w:r>
      <w:r w:rsidRPr="00D23311">
        <w:noBreakHyphen/>
        <w:t xml:space="preserve">T); </w:t>
      </w:r>
    </w:p>
    <w:p w14:paraId="58E76BCF" w14:textId="77777777" w:rsidR="00ED32D6" w:rsidRPr="00D23311" w:rsidRDefault="006810C3" w:rsidP="003810B0">
      <w:pPr>
        <w:rPr>
          <w:i/>
          <w:iCs/>
        </w:rPr>
      </w:pPr>
      <w:r w:rsidRPr="00D23311">
        <w:rPr>
          <w:i/>
          <w:iCs/>
        </w:rPr>
        <w:t>c)</w:t>
      </w:r>
      <w:r w:rsidRPr="00D23311">
        <w:tab/>
        <w:t>the ongoing deployment of</w:t>
      </w:r>
      <w:del w:id="15" w:author="TSB (RC)" w:date="2021-07-22T14:45:00Z">
        <w:r w:rsidRPr="00D23311" w:rsidDel="00FC2A73">
          <w:delText xml:space="preserve"> next-generation networks (NGN), future networks (FN) and Internet protocol (IP)-based networks</w:delText>
        </w:r>
      </w:del>
      <w:ins w:id="16" w:author="TSB (RC)" w:date="2021-07-22T14:48:00Z">
        <w:r w:rsidR="00BC34B6">
          <w:t xml:space="preserve"> </w:t>
        </w:r>
      </w:ins>
      <w:ins w:id="17" w:author="TSB (RC)" w:date="2021-07-22T14:45:00Z">
        <w:r w:rsidR="00FC2A73" w:rsidRPr="00FC2A73">
          <w:t>future telecommunications/ICTs to support new and innovative services that will require NNAI resources</w:t>
        </w:r>
      </w:ins>
      <w:r w:rsidRPr="00D23311">
        <w:t>;</w:t>
      </w:r>
    </w:p>
    <w:p w14:paraId="411FD80A" w14:textId="77777777" w:rsidR="00ED32D6" w:rsidRPr="00D23311" w:rsidRDefault="006810C3" w:rsidP="003810B0">
      <w:r w:rsidRPr="00D23311">
        <w:rPr>
          <w:i/>
          <w:iCs/>
        </w:rPr>
        <w:t>d)</w:t>
      </w:r>
      <w:r w:rsidRPr="00D23311">
        <w:tab/>
        <w:t>that several international telecommunication NNAI resources are developed and maintained by ITU</w:t>
      </w:r>
      <w:r w:rsidRPr="00D23311">
        <w:noBreakHyphen/>
        <w:t>T study groups and are in widespread use;</w:t>
      </w:r>
    </w:p>
    <w:p w14:paraId="7DAFCA6D" w14:textId="77777777" w:rsidR="00ED32D6" w:rsidRPr="00D23311" w:rsidRDefault="006810C3" w:rsidP="003810B0">
      <w:r w:rsidRPr="00D23311">
        <w:rPr>
          <w:i/>
          <w:iCs/>
        </w:rPr>
        <w:t>e)</w:t>
      </w:r>
      <w:r w:rsidRPr="00D23311">
        <w:tab/>
        <w:t>that the national authorities responsible for allocation of NNAI resources, including</w:t>
      </w:r>
      <w:del w:id="18" w:author="TSB (RC)" w:date="2021-07-22T14:46:00Z">
        <w:r w:rsidRPr="00D23311" w:rsidDel="00FC2A73">
          <w:delText xml:space="preserve"> signalling area/network codes (Recommendation ITU</w:delText>
        </w:r>
        <w:r w:rsidRPr="00D23311" w:rsidDel="00FC2A73">
          <w:noBreakHyphen/>
          <w:delText>T Q.708) and data country codes (Recommendation ITU</w:delText>
        </w:r>
        <w:r w:rsidRPr="00D23311" w:rsidDel="00FC2A73">
          <w:noBreakHyphen/>
          <w:delText>T X.121)</w:delText>
        </w:r>
      </w:del>
      <w:ins w:id="19" w:author="TSB (RC)" w:date="2021-07-22T14:46:00Z">
        <w:r w:rsidR="00FC2A73" w:rsidRPr="00FC2A73">
          <w:t xml:space="preserve"> numbers used for international public telecommunication (Recommendation ITU-T E.164), identification plan for use in public land mobile networks (Recommendation ITU-T E.212</w:t>
        </w:r>
        <w:r w:rsidR="00FC2A73">
          <w:t>)</w:t>
        </w:r>
      </w:ins>
      <w:r w:rsidRPr="00D23311">
        <w:t>, normally participate in ITU</w:t>
      </w:r>
      <w:r w:rsidRPr="00D23311">
        <w:noBreakHyphen/>
        <w:t>T Study Group 2;</w:t>
      </w:r>
    </w:p>
    <w:p w14:paraId="5BF5ACC9" w14:textId="77777777" w:rsidR="00ED32D6" w:rsidRPr="00D23311" w:rsidRDefault="006810C3" w:rsidP="003810B0">
      <w:pPr>
        <w:keepNext/>
      </w:pPr>
      <w:r w:rsidRPr="00D23311">
        <w:rPr>
          <w:i/>
          <w:iCs/>
        </w:rPr>
        <w:lastRenderedPageBreak/>
        <w:t>f)</w:t>
      </w:r>
      <w:r w:rsidRPr="00D23311">
        <w:tab/>
        <w:t>that it is in the common interest of ITU</w:t>
      </w:r>
      <w:del w:id="20" w:author="TSB (RC)" w:date="2021-07-22T14:48:00Z">
        <w:r w:rsidRPr="00D23311" w:rsidDel="00BC34B6">
          <w:noBreakHyphen/>
          <w:delText>T</w:delText>
        </w:r>
      </w:del>
      <w:r w:rsidRPr="00D23311">
        <w:t xml:space="preserve"> Member States and Sector Members that the Recommendations and guidelines for international telecommunication NNAI resources should:</w:t>
      </w:r>
    </w:p>
    <w:p w14:paraId="7AF27827" w14:textId="77777777" w:rsidR="00ED32D6" w:rsidRPr="00D23311" w:rsidRDefault="006810C3" w:rsidP="003810B0">
      <w:pPr>
        <w:pStyle w:val="enumlev1"/>
      </w:pPr>
      <w:r w:rsidRPr="00D23311">
        <w:t>i)</w:t>
      </w:r>
      <w:r w:rsidRPr="00D23311">
        <w:tab/>
        <w:t>be known, recognized and applied by all;</w:t>
      </w:r>
    </w:p>
    <w:p w14:paraId="42F867E7" w14:textId="77777777" w:rsidR="00ED32D6" w:rsidRPr="00D23311" w:rsidRDefault="006810C3" w:rsidP="003810B0">
      <w:pPr>
        <w:pStyle w:val="enumlev1"/>
      </w:pPr>
      <w:r w:rsidRPr="00D23311">
        <w:t>ii)</w:t>
      </w:r>
      <w:r w:rsidRPr="00D23311">
        <w:tab/>
        <w:t>be used to build and maintain confidence of all in the related services;</w:t>
      </w:r>
    </w:p>
    <w:p w14:paraId="4EB6ECF2" w14:textId="77777777" w:rsidR="00ED32D6" w:rsidRDefault="006810C3" w:rsidP="003810B0">
      <w:pPr>
        <w:pStyle w:val="enumlev1"/>
        <w:rPr>
          <w:ins w:id="21" w:author="TSB (RC)" w:date="2021-07-22T14:46:00Z"/>
        </w:rPr>
      </w:pPr>
      <w:r w:rsidRPr="00D23311">
        <w:t>iii)</w:t>
      </w:r>
      <w:r w:rsidRPr="00D23311">
        <w:tab/>
        <w:t>address deterrence of misuse of such resources;</w:t>
      </w:r>
    </w:p>
    <w:p w14:paraId="5AACEC8F" w14:textId="77777777" w:rsidR="00FC2A73" w:rsidRPr="00D23311" w:rsidRDefault="00FC2A73" w:rsidP="003810B0">
      <w:pPr>
        <w:pStyle w:val="enumlev1"/>
      </w:pPr>
      <w:ins w:id="22" w:author="TSB (RC)" w:date="2021-07-22T14:46:00Z">
        <w:r>
          <w:t>iv)</w:t>
        </w:r>
        <w:r>
          <w:tab/>
        </w:r>
        <w:r w:rsidRPr="00FC2A73">
          <w:t>be governed and administered in a consistent and appropriate manner</w:t>
        </w:r>
      </w:ins>
      <w:ins w:id="23" w:author="TSB (RC)" w:date="2021-07-22T14:47:00Z">
        <w:r>
          <w:t>;</w:t>
        </w:r>
      </w:ins>
    </w:p>
    <w:p w14:paraId="36FC1253" w14:textId="77777777" w:rsidR="00ED32D6" w:rsidRPr="00D23311" w:rsidRDefault="006810C3" w:rsidP="003810B0">
      <w:r w:rsidRPr="00D23311">
        <w:rPr>
          <w:i/>
          <w:iCs/>
        </w:rPr>
        <w:t>g)</w:t>
      </w:r>
      <w:r w:rsidRPr="00D23311">
        <w:tab/>
        <w:t>Articles 14 and 15 of the ITU Convention concerning the activities of ITU</w:t>
      </w:r>
      <w:r w:rsidRPr="00D23311">
        <w:noBreakHyphen/>
        <w:t>T study groups and the responsibilities of the Director of the Telecommunication Standardization Bureau (TSB), respectively,</w:t>
      </w:r>
    </w:p>
    <w:p w14:paraId="7F57D4F6" w14:textId="77777777" w:rsidR="00ED32D6" w:rsidRPr="00D23311" w:rsidRDefault="006810C3" w:rsidP="00ED32D6">
      <w:pPr>
        <w:pStyle w:val="Call"/>
      </w:pPr>
      <w:r w:rsidRPr="00D23311">
        <w:t>considering</w:t>
      </w:r>
    </w:p>
    <w:p w14:paraId="6791E743" w14:textId="77777777" w:rsidR="00ED32D6" w:rsidRPr="00D23311" w:rsidRDefault="006810C3" w:rsidP="003810B0">
      <w:r w:rsidRPr="00D23311">
        <w:rPr>
          <w:i/>
          <w:iCs/>
        </w:rPr>
        <w:t>a)</w:t>
      </w:r>
      <w:r w:rsidRPr="00D23311">
        <w:tab/>
        <w:t>that the assignment of international telecommunication NNAI resources is a responsibility of the Director of TSB and the relevant administrations;</w:t>
      </w:r>
    </w:p>
    <w:p w14:paraId="6361E5F5" w14:textId="77777777" w:rsidR="00ED32D6" w:rsidRPr="00D23311" w:rsidRDefault="006810C3" w:rsidP="003810B0">
      <w:r w:rsidRPr="00D23311">
        <w:rPr>
          <w:i/>
          <w:iCs/>
        </w:rPr>
        <w:t>b)</w:t>
      </w:r>
      <w:r w:rsidRPr="00D23311">
        <w:tab/>
        <w:t xml:space="preserve">the </w:t>
      </w:r>
      <w:del w:id="24" w:author="TSB (RC)" w:date="2021-07-22T14:47:00Z">
        <w:r w:rsidRPr="00D23311" w:rsidDel="00FC2A73">
          <w:delText xml:space="preserve">global growth of mobile and Internet subscribers and the </w:delText>
        </w:r>
      </w:del>
      <w:ins w:id="25" w:author="TSB (RC)" w:date="2021-07-22T14:49:00Z">
        <w:r w:rsidR="00BC34B6">
          <w:t xml:space="preserve">continuing </w:t>
        </w:r>
      </w:ins>
      <w:r w:rsidRPr="00D23311">
        <w:t xml:space="preserve">convergence of telecommunication services, </w:t>
      </w:r>
      <w:ins w:id="26" w:author="TSB (RC)" w:date="2021-07-22T14:47:00Z">
        <w:r w:rsidR="00FC2A73" w:rsidRPr="00FC2A73">
          <w:t xml:space="preserve">and the requirements for existing NNAI resources to support new </w:t>
        </w:r>
        <w:proofErr w:type="gramStart"/>
        <w:r w:rsidR="00FC2A73" w:rsidRPr="00FC2A73">
          <w:t>telecommunication/ICT’s</w:t>
        </w:r>
        <w:proofErr w:type="gramEnd"/>
        <w:r w:rsidR="00FC2A73" w:rsidRPr="00FC2A73">
          <w:t xml:space="preserve"> and innovative services</w:t>
        </w:r>
        <w:r w:rsidR="00FC2A73">
          <w:t>,</w:t>
        </w:r>
      </w:ins>
    </w:p>
    <w:p w14:paraId="3DBFC211" w14:textId="77777777" w:rsidR="00ED32D6" w:rsidRPr="00D23311" w:rsidRDefault="006810C3" w:rsidP="00ED32D6">
      <w:pPr>
        <w:pStyle w:val="Call"/>
      </w:pPr>
      <w:r w:rsidRPr="00D23311">
        <w:t>resolves to instruct</w:t>
      </w:r>
    </w:p>
    <w:p w14:paraId="0084ECC2" w14:textId="77777777" w:rsidR="00ED32D6" w:rsidRPr="00D23311" w:rsidRDefault="006810C3" w:rsidP="003810B0">
      <w:pPr>
        <w:keepNext/>
      </w:pPr>
      <w:r w:rsidRPr="00D23311">
        <w:t>1</w:t>
      </w:r>
      <w:r w:rsidRPr="00D23311">
        <w:tab/>
        <w:t>the Director of TSB, before assigning, reassigning and/or reclaiming international NNAI resources, to consult:</w:t>
      </w:r>
    </w:p>
    <w:p w14:paraId="067B7525" w14:textId="77777777" w:rsidR="00ED32D6" w:rsidRPr="00D23311" w:rsidRDefault="006810C3" w:rsidP="003810B0">
      <w:pPr>
        <w:pStyle w:val="enumlev1"/>
      </w:pPr>
      <w:r w:rsidRPr="00D23311">
        <w:t>i)</w:t>
      </w:r>
      <w:r w:rsidRPr="00D23311">
        <w:tab/>
        <w:t>the chairman of Study Group 2, in liaison with the chairmen of the other relevant study groups, or if needed the chairman's delegated representative, to resolve requirements as specified in relevant ITU</w:t>
      </w:r>
      <w:r w:rsidRPr="00D23311">
        <w:noBreakHyphen/>
        <w:t>T Recommendations; and</w:t>
      </w:r>
    </w:p>
    <w:p w14:paraId="4949B56E" w14:textId="77777777" w:rsidR="00ED32D6" w:rsidRPr="00D23311" w:rsidRDefault="006810C3" w:rsidP="003810B0">
      <w:pPr>
        <w:pStyle w:val="enumlev1"/>
      </w:pPr>
      <w:r w:rsidRPr="00D23311">
        <w:t>ii)</w:t>
      </w:r>
      <w:r w:rsidRPr="00D23311">
        <w:tab/>
        <w:t>the relevant administration(s); and/or</w:t>
      </w:r>
    </w:p>
    <w:p w14:paraId="2BC209A6" w14:textId="77777777" w:rsidR="00ED32D6" w:rsidRPr="00D23311" w:rsidRDefault="006810C3" w:rsidP="003810B0">
      <w:pPr>
        <w:pStyle w:val="enumlev1"/>
      </w:pPr>
      <w:r w:rsidRPr="00D23311">
        <w:t>iii)</w:t>
      </w:r>
      <w:r w:rsidRPr="00D23311">
        <w:tab/>
        <w:t>the authorized applicant/assignee when direct communication with TSB is required in order to perform its responsibilities;</w:t>
      </w:r>
    </w:p>
    <w:p w14:paraId="4DF8E0DF" w14:textId="77777777" w:rsidR="00ED32D6" w:rsidRPr="00D23311" w:rsidRDefault="006810C3" w:rsidP="003810B0">
      <w:r w:rsidRPr="00D23311">
        <w:t xml:space="preserve">in the Director's deliberations and consultations, the Director will consider the general principles for the allocation of NNAI resources, and the provisions of the relevant </w:t>
      </w:r>
      <w:ins w:id="27" w:author="TSB (RC)" w:date="2021-07-22T14:47:00Z">
        <w:r w:rsidR="00FC2A73">
          <w:t xml:space="preserve">ITU-T </w:t>
        </w:r>
      </w:ins>
      <w:r w:rsidRPr="00D23311">
        <w:t>Recommendations</w:t>
      </w:r>
      <w:del w:id="28" w:author="TSB (RC)" w:date="2021-07-22T14:47:00Z">
        <w:r w:rsidRPr="00D23311" w:rsidDel="00FC2A73">
          <w:delText xml:space="preserve"> in the ITU</w:delText>
        </w:r>
        <w:r w:rsidRPr="00D23311" w:rsidDel="00FC2A73">
          <w:noBreakHyphen/>
          <w:delText>T E-, ITU</w:delText>
        </w:r>
        <w:r w:rsidRPr="00D23311" w:rsidDel="00FC2A73">
          <w:noBreakHyphen/>
          <w:delText>T F-, ITU</w:delText>
        </w:r>
        <w:r w:rsidRPr="00D23311" w:rsidDel="00FC2A73">
          <w:noBreakHyphen/>
          <w:delText>T Q- and ITU</w:delText>
        </w:r>
        <w:r w:rsidRPr="00D23311" w:rsidDel="00FC2A73">
          <w:noBreakHyphen/>
          <w:delText>T X-series, and those to be further adopted</w:delText>
        </w:r>
      </w:del>
      <w:r w:rsidRPr="00D23311">
        <w:t>;</w:t>
      </w:r>
    </w:p>
    <w:p w14:paraId="5FD7B45C" w14:textId="77777777" w:rsidR="00ED32D6" w:rsidRPr="00D23311" w:rsidRDefault="006810C3" w:rsidP="003810B0">
      <w:pPr>
        <w:keepNext/>
      </w:pPr>
      <w:r w:rsidRPr="00D23311">
        <w:t>2</w:t>
      </w:r>
      <w:r w:rsidRPr="00D23311">
        <w:tab/>
        <w:t xml:space="preserve">Study Group 2, in liaison with other relevant study groups, to provide to the Director of TSB: </w:t>
      </w:r>
    </w:p>
    <w:p w14:paraId="712F1618" w14:textId="77777777" w:rsidR="00ED32D6" w:rsidRPr="00D23311" w:rsidRDefault="006810C3" w:rsidP="003810B0">
      <w:pPr>
        <w:pStyle w:val="enumlev1"/>
      </w:pPr>
      <w:r w:rsidRPr="00D23311">
        <w:t>i)</w:t>
      </w:r>
      <w:r w:rsidRPr="00D23311">
        <w:tab/>
        <w:t xml:space="preserve">advice on technical, functional and operational aspects in the assignment, reassignment and/or reclamation of international NNAI resources in accordance with the relevant Recommendations, taking into account the results of any ongoing studies; </w:t>
      </w:r>
    </w:p>
    <w:p w14:paraId="366F8D68" w14:textId="77777777" w:rsidR="00ED32D6" w:rsidRPr="00D23311" w:rsidRDefault="006810C3" w:rsidP="003810B0">
      <w:pPr>
        <w:pStyle w:val="enumlev1"/>
      </w:pPr>
      <w:r w:rsidRPr="00D23311">
        <w:t>ii)</w:t>
      </w:r>
      <w:r w:rsidRPr="00D23311">
        <w:tab/>
        <w:t>information and guidance in cases of reported complaints about misuses of international telecommunication NNAI resources;</w:t>
      </w:r>
      <w:r w:rsidRPr="00D23311">
        <w:rPr>
          <w:i/>
          <w:iCs/>
        </w:rPr>
        <w:t xml:space="preserve"> </w:t>
      </w:r>
    </w:p>
    <w:p w14:paraId="70909DD4" w14:textId="77777777" w:rsidR="00ED32D6" w:rsidRPr="00D23311" w:rsidRDefault="006810C3" w:rsidP="003810B0">
      <w:r w:rsidRPr="00D23311">
        <w:t>3</w:t>
      </w:r>
      <w:r w:rsidRPr="00D23311">
        <w:tab/>
        <w:t>the Director of TSB, in close collaboration with Study Group 2, and any other relevant study groups, to follow up with the administrations involved on the misuse of any international telecommunication NNAI resources</w:t>
      </w:r>
      <w:del w:id="29" w:author="TSB (RC)" w:date="2021-07-22T14:47:00Z">
        <w:r w:rsidRPr="00D23311" w:rsidDel="00FC2A73">
          <w:delText>, and inform the ITU Council accordingly</w:delText>
        </w:r>
      </w:del>
      <w:r w:rsidRPr="00D23311">
        <w:t xml:space="preserve">; </w:t>
      </w:r>
    </w:p>
    <w:p w14:paraId="7703C00E" w14:textId="77777777" w:rsidR="00ED32D6" w:rsidRPr="00D23311" w:rsidRDefault="006810C3" w:rsidP="003810B0">
      <w:r w:rsidRPr="00D23311">
        <w:t>4</w:t>
      </w:r>
      <w:r w:rsidRPr="00D23311">
        <w:tab/>
        <w:t xml:space="preserve">the Director of TSB to take the appropriate measures and actions where Study Group 2, in liaison with the other relevant study groups, has provided information, advice and guidance in accordance with </w:t>
      </w:r>
      <w:r w:rsidRPr="00D23311">
        <w:rPr>
          <w:i/>
          <w:iCs/>
        </w:rPr>
        <w:t>resolves to instruct</w:t>
      </w:r>
      <w:r w:rsidRPr="00D23311">
        <w:t xml:space="preserve"> 2 and 3 above; </w:t>
      </w:r>
    </w:p>
    <w:p w14:paraId="65EBC49B" w14:textId="77777777" w:rsidR="00ED32D6" w:rsidRPr="00D23311" w:rsidRDefault="006810C3" w:rsidP="003810B0">
      <w:r w:rsidRPr="00D23311">
        <w:t>5</w:t>
      </w:r>
      <w:r w:rsidRPr="00D23311">
        <w:tab/>
        <w:t xml:space="preserve">Study Group 2 to continue to study necessary action to ensure that the sovereignty of ITU Member States with regard to country-code NNAI plans is fully maintained, including ENUM, </w:t>
      </w:r>
      <w:r w:rsidRPr="00D23311">
        <w:rPr>
          <w:iCs/>
        </w:rPr>
        <w:t>as enshrined in Recommendation ITU</w:t>
      </w:r>
      <w:r w:rsidRPr="00D23311">
        <w:rPr>
          <w:iCs/>
        </w:rPr>
        <w:noBreakHyphen/>
        <w:t>T E.164 and other relevant Recommendations</w:t>
      </w:r>
      <w:r w:rsidRPr="00D23311">
        <w:t xml:space="preserve"> </w:t>
      </w:r>
      <w:r w:rsidRPr="00D23311">
        <w:rPr>
          <w:iCs/>
        </w:rPr>
        <w:t>and procedures</w:t>
      </w:r>
      <w:r w:rsidRPr="00D23311">
        <w:t xml:space="preserve">; </w:t>
      </w:r>
      <w:r w:rsidRPr="00D23311">
        <w:lastRenderedPageBreak/>
        <w:t>this shall cover ways and means to address and counter any misuse of any international telecommunication NNAI resources.</w:t>
      </w:r>
    </w:p>
    <w:p w14:paraId="20E26153" w14:textId="77777777" w:rsidR="000D4E17" w:rsidRDefault="000D4E17">
      <w:pPr>
        <w:pStyle w:val="Reasons"/>
      </w:pPr>
    </w:p>
    <w:sectPr w:rsidR="000D4E17">
      <w:headerReference w:type="default" r:id="rId12"/>
      <w:footerReference w:type="even" r:id="rId13"/>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56C8B0" w14:textId="77777777" w:rsidR="006810C3" w:rsidRDefault="006810C3">
      <w:r>
        <w:separator/>
      </w:r>
    </w:p>
  </w:endnote>
  <w:endnote w:type="continuationSeparator" w:id="0">
    <w:p w14:paraId="54107EF8" w14:textId="77777777" w:rsidR="006810C3" w:rsidRDefault="006810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4A0D9" w14:textId="77777777" w:rsidR="00E45D05" w:rsidRDefault="00E45D05">
    <w:pPr>
      <w:framePr w:wrap="around" w:vAnchor="text" w:hAnchor="margin" w:xAlign="right" w:y="1"/>
    </w:pPr>
    <w:r>
      <w:fldChar w:fldCharType="begin"/>
    </w:r>
    <w:r>
      <w:instrText xml:space="preserve">PAGE  </w:instrText>
    </w:r>
    <w:r>
      <w:fldChar w:fldCharType="end"/>
    </w:r>
  </w:p>
  <w:p w14:paraId="309B6592" w14:textId="77777777" w:rsidR="00E45D05" w:rsidRPr="0041348E" w:rsidRDefault="00E45D05">
    <w:pPr>
      <w:ind w:right="360"/>
      <w:rPr>
        <w:lang w:val="en-US"/>
      </w:rPr>
    </w:pPr>
    <w:r>
      <w:fldChar w:fldCharType="begin"/>
    </w:r>
    <w:r w:rsidRPr="0041348E">
      <w:rPr>
        <w:lang w:val="en-US"/>
      </w:rPr>
      <w:instrText xml:space="preserve"> FILENAME \p  \* MERGEFORMAT </w:instrText>
    </w:r>
    <w:r>
      <w:fldChar w:fldCharType="separate"/>
    </w:r>
    <w:r w:rsidR="00622829">
      <w:rPr>
        <w:noProof/>
        <w:lang w:val="en-US"/>
      </w:rPr>
      <w:t>C:\Users\campos\AppData\Local\Microsoft\Windows\INetCache\Content.Outlook\1APDU6K4\WTSA20-E.docx</w:t>
    </w:r>
    <w:r>
      <w:fldChar w:fldCharType="end"/>
    </w:r>
    <w:r w:rsidRPr="0041348E">
      <w:rPr>
        <w:lang w:val="en-US"/>
      </w:rPr>
      <w:tab/>
    </w:r>
    <w:r>
      <w:fldChar w:fldCharType="begin"/>
    </w:r>
    <w:r>
      <w:instrText xml:space="preserve"> SAVEDATE \@ DD.MM.YY </w:instrText>
    </w:r>
    <w:r>
      <w:fldChar w:fldCharType="separate"/>
    </w:r>
    <w:r w:rsidR="00BC03D0">
      <w:rPr>
        <w:noProof/>
      </w:rPr>
      <w:t>22.07.21</w:t>
    </w:r>
    <w:r>
      <w:fldChar w:fldCharType="end"/>
    </w:r>
    <w:r w:rsidRPr="0041348E">
      <w:rPr>
        <w:lang w:val="en-US"/>
      </w:rPr>
      <w:tab/>
    </w:r>
    <w:r>
      <w:fldChar w:fldCharType="begin"/>
    </w:r>
    <w:r>
      <w:instrText xml:space="preserve"> PRINTDATE \@ DD.MM.YY </w:instrText>
    </w:r>
    <w:r>
      <w:fldChar w:fldCharType="separate"/>
    </w:r>
    <w:r w:rsidR="00622829">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719879" w14:textId="77777777" w:rsidR="006810C3" w:rsidRDefault="006810C3">
      <w:r>
        <w:rPr>
          <w:b/>
        </w:rPr>
        <w:t>_______________</w:t>
      </w:r>
    </w:p>
  </w:footnote>
  <w:footnote w:type="continuationSeparator" w:id="0">
    <w:p w14:paraId="31E078C0" w14:textId="77777777" w:rsidR="006810C3" w:rsidRDefault="006810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26D73" w14:textId="77777777" w:rsidR="00C72D5C" w:rsidRDefault="00C72D5C" w:rsidP="00C72D5C">
    <w:pPr>
      <w:pStyle w:val="Header"/>
    </w:pPr>
    <w:r>
      <w:fldChar w:fldCharType="begin"/>
    </w:r>
    <w:r>
      <w:instrText xml:space="preserve"> PAGE  \* MERGEFORMAT </w:instrText>
    </w:r>
    <w:r>
      <w:fldChar w:fldCharType="separate"/>
    </w:r>
    <w:r w:rsidR="00DF6908">
      <w:rPr>
        <w:noProof/>
      </w:rPr>
      <w:t>2</w:t>
    </w:r>
    <w:r>
      <w:fldChar w:fldCharType="end"/>
    </w:r>
  </w:p>
  <w:p w14:paraId="476D858E" w14:textId="7D95D301" w:rsidR="00A066F1" w:rsidRPr="00C72D5C" w:rsidRDefault="00622829" w:rsidP="008E67E5">
    <w:pPr>
      <w:pStyle w:val="Header"/>
    </w:pPr>
    <w:r>
      <w:fldChar w:fldCharType="begin"/>
    </w:r>
    <w:r>
      <w:instrText xml:space="preserve"> styleref DocNumber</w:instrText>
    </w:r>
    <w:r>
      <w:fldChar w:fldCharType="separate"/>
    </w:r>
    <w:r w:rsidR="00BC03D0">
      <w:rPr>
        <w:noProof/>
      </w:rPr>
      <w:t>Addendum 24 to</w:t>
    </w:r>
    <w:r w:rsidR="00BC03D0">
      <w:rPr>
        <w:noProof/>
      </w:rPr>
      <w:br/>
      <w:t>Document 38-E</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0034F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TSB (RC)">
    <w15:presenceInfo w15:providerId="None" w15:userId="TSB (RC)"/>
  </w15:person>
  <w15:person w15:author="Scott, Sarah">
    <w15:presenceInfo w15:providerId="AD" w15:userId="S::sarah.scott@itu.int::eb9c19fc-cfda-4939-b50d-f99a6b0e179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66F1"/>
    <w:rsid w:val="000041EA"/>
    <w:rsid w:val="00022A29"/>
    <w:rsid w:val="00034F78"/>
    <w:rsid w:val="000355FD"/>
    <w:rsid w:val="00051E39"/>
    <w:rsid w:val="00063D0B"/>
    <w:rsid w:val="0006471F"/>
    <w:rsid w:val="00077239"/>
    <w:rsid w:val="000807E9"/>
    <w:rsid w:val="00086491"/>
    <w:rsid w:val="00091346"/>
    <w:rsid w:val="0009706C"/>
    <w:rsid w:val="000D4E17"/>
    <w:rsid w:val="000F73FF"/>
    <w:rsid w:val="001059D5"/>
    <w:rsid w:val="00114CF7"/>
    <w:rsid w:val="00123B68"/>
    <w:rsid w:val="00126F2E"/>
    <w:rsid w:val="001301F4"/>
    <w:rsid w:val="00130789"/>
    <w:rsid w:val="00137CF6"/>
    <w:rsid w:val="00146F6F"/>
    <w:rsid w:val="00161472"/>
    <w:rsid w:val="00163E58"/>
    <w:rsid w:val="0017074E"/>
    <w:rsid w:val="00182117"/>
    <w:rsid w:val="00187BD9"/>
    <w:rsid w:val="00190B55"/>
    <w:rsid w:val="001A5067"/>
    <w:rsid w:val="001C3B5F"/>
    <w:rsid w:val="001D058F"/>
    <w:rsid w:val="001E6F73"/>
    <w:rsid w:val="002009EA"/>
    <w:rsid w:val="00202CA0"/>
    <w:rsid w:val="00203E36"/>
    <w:rsid w:val="00216B6D"/>
    <w:rsid w:val="00236EBA"/>
    <w:rsid w:val="00245127"/>
    <w:rsid w:val="00245D4E"/>
    <w:rsid w:val="00246525"/>
    <w:rsid w:val="00250AF4"/>
    <w:rsid w:val="00260B50"/>
    <w:rsid w:val="00263BE8"/>
    <w:rsid w:val="00271316"/>
    <w:rsid w:val="00290F83"/>
    <w:rsid w:val="002931F4"/>
    <w:rsid w:val="002957A7"/>
    <w:rsid w:val="002A1D23"/>
    <w:rsid w:val="002A5392"/>
    <w:rsid w:val="002B100E"/>
    <w:rsid w:val="002D58BE"/>
    <w:rsid w:val="002F2D0C"/>
    <w:rsid w:val="00316B80"/>
    <w:rsid w:val="003251EA"/>
    <w:rsid w:val="0034635C"/>
    <w:rsid w:val="00377BD3"/>
    <w:rsid w:val="00384088"/>
    <w:rsid w:val="0039007E"/>
    <w:rsid w:val="0039169B"/>
    <w:rsid w:val="00394470"/>
    <w:rsid w:val="003A7F8C"/>
    <w:rsid w:val="003B532E"/>
    <w:rsid w:val="003D0F8B"/>
    <w:rsid w:val="003F020A"/>
    <w:rsid w:val="00401A14"/>
    <w:rsid w:val="0041348E"/>
    <w:rsid w:val="00420EDB"/>
    <w:rsid w:val="004373CA"/>
    <w:rsid w:val="004420C9"/>
    <w:rsid w:val="00465457"/>
    <w:rsid w:val="00465799"/>
    <w:rsid w:val="00471EF9"/>
    <w:rsid w:val="00492075"/>
    <w:rsid w:val="004969AD"/>
    <w:rsid w:val="004A26C4"/>
    <w:rsid w:val="004B13CB"/>
    <w:rsid w:val="004B4AAE"/>
    <w:rsid w:val="004C6FBE"/>
    <w:rsid w:val="004D5D5C"/>
    <w:rsid w:val="004D6DFC"/>
    <w:rsid w:val="004E05BE"/>
    <w:rsid w:val="004F630A"/>
    <w:rsid w:val="0050139F"/>
    <w:rsid w:val="0055140B"/>
    <w:rsid w:val="00553247"/>
    <w:rsid w:val="00566629"/>
    <w:rsid w:val="0056747D"/>
    <w:rsid w:val="00581B01"/>
    <w:rsid w:val="00595780"/>
    <w:rsid w:val="005964AB"/>
    <w:rsid w:val="005C099A"/>
    <w:rsid w:val="005C31A5"/>
    <w:rsid w:val="005E10C9"/>
    <w:rsid w:val="005E61DD"/>
    <w:rsid w:val="006023DF"/>
    <w:rsid w:val="00602F64"/>
    <w:rsid w:val="00622829"/>
    <w:rsid w:val="00623F15"/>
    <w:rsid w:val="00643684"/>
    <w:rsid w:val="00657DE0"/>
    <w:rsid w:val="006714A3"/>
    <w:rsid w:val="0067500B"/>
    <w:rsid w:val="006763BF"/>
    <w:rsid w:val="006770EF"/>
    <w:rsid w:val="006810C3"/>
    <w:rsid w:val="00685313"/>
    <w:rsid w:val="0069276B"/>
    <w:rsid w:val="00692833"/>
    <w:rsid w:val="006A6E9B"/>
    <w:rsid w:val="006A72A4"/>
    <w:rsid w:val="006B7C2A"/>
    <w:rsid w:val="006C23DA"/>
    <w:rsid w:val="006E3D45"/>
    <w:rsid w:val="006E6EE0"/>
    <w:rsid w:val="00700547"/>
    <w:rsid w:val="007066BA"/>
    <w:rsid w:val="00707E39"/>
    <w:rsid w:val="007149F9"/>
    <w:rsid w:val="00733A30"/>
    <w:rsid w:val="00742988"/>
    <w:rsid w:val="00742F1D"/>
    <w:rsid w:val="00745AEE"/>
    <w:rsid w:val="00750F10"/>
    <w:rsid w:val="00761B19"/>
    <w:rsid w:val="007742CA"/>
    <w:rsid w:val="00777235"/>
    <w:rsid w:val="00790D70"/>
    <w:rsid w:val="007D5320"/>
    <w:rsid w:val="007E51BA"/>
    <w:rsid w:val="007E66EA"/>
    <w:rsid w:val="007F3C67"/>
    <w:rsid w:val="00800972"/>
    <w:rsid w:val="00804475"/>
    <w:rsid w:val="00811633"/>
    <w:rsid w:val="008508D8"/>
    <w:rsid w:val="00864CD2"/>
    <w:rsid w:val="00872FC8"/>
    <w:rsid w:val="008845D0"/>
    <w:rsid w:val="008B1AEA"/>
    <w:rsid w:val="008B43F2"/>
    <w:rsid w:val="008B6CFF"/>
    <w:rsid w:val="008E4BBE"/>
    <w:rsid w:val="008E67E5"/>
    <w:rsid w:val="008F08A1"/>
    <w:rsid w:val="008F7D1E"/>
    <w:rsid w:val="009163CF"/>
    <w:rsid w:val="0092425C"/>
    <w:rsid w:val="009274B4"/>
    <w:rsid w:val="00930EBD"/>
    <w:rsid w:val="00931323"/>
    <w:rsid w:val="00934EA2"/>
    <w:rsid w:val="00940614"/>
    <w:rsid w:val="00944A5C"/>
    <w:rsid w:val="00952A66"/>
    <w:rsid w:val="0095691C"/>
    <w:rsid w:val="009B59BB"/>
    <w:rsid w:val="009C56E5"/>
    <w:rsid w:val="009E1967"/>
    <w:rsid w:val="009E5FC8"/>
    <w:rsid w:val="009E687A"/>
    <w:rsid w:val="009F1890"/>
    <w:rsid w:val="009F4D71"/>
    <w:rsid w:val="00A066F1"/>
    <w:rsid w:val="00A141AF"/>
    <w:rsid w:val="00A16D29"/>
    <w:rsid w:val="00A30305"/>
    <w:rsid w:val="00A31D2D"/>
    <w:rsid w:val="00A36DF9"/>
    <w:rsid w:val="00A41A0D"/>
    <w:rsid w:val="00A41CB8"/>
    <w:rsid w:val="00A4600A"/>
    <w:rsid w:val="00A538A6"/>
    <w:rsid w:val="00A54C25"/>
    <w:rsid w:val="00A710E7"/>
    <w:rsid w:val="00A7372E"/>
    <w:rsid w:val="00A93B85"/>
    <w:rsid w:val="00AA0B18"/>
    <w:rsid w:val="00AA666F"/>
    <w:rsid w:val="00AB416A"/>
    <w:rsid w:val="00AB7C5F"/>
    <w:rsid w:val="00B529AD"/>
    <w:rsid w:val="00B6324B"/>
    <w:rsid w:val="00B639E9"/>
    <w:rsid w:val="00B817CD"/>
    <w:rsid w:val="00B94AD0"/>
    <w:rsid w:val="00BA5265"/>
    <w:rsid w:val="00BB387F"/>
    <w:rsid w:val="00BB3A95"/>
    <w:rsid w:val="00BB6222"/>
    <w:rsid w:val="00BC03D0"/>
    <w:rsid w:val="00BC2FB6"/>
    <w:rsid w:val="00BC34B6"/>
    <w:rsid w:val="00BC7D84"/>
    <w:rsid w:val="00C0018F"/>
    <w:rsid w:val="00C0539A"/>
    <w:rsid w:val="00C16A5A"/>
    <w:rsid w:val="00C20466"/>
    <w:rsid w:val="00C214ED"/>
    <w:rsid w:val="00C234E6"/>
    <w:rsid w:val="00C324A8"/>
    <w:rsid w:val="00C479FD"/>
    <w:rsid w:val="00C50EF4"/>
    <w:rsid w:val="00C54517"/>
    <w:rsid w:val="00C64CD8"/>
    <w:rsid w:val="00C701BF"/>
    <w:rsid w:val="00C72D5C"/>
    <w:rsid w:val="00C77E1A"/>
    <w:rsid w:val="00C97C68"/>
    <w:rsid w:val="00CA1A47"/>
    <w:rsid w:val="00CC247A"/>
    <w:rsid w:val="00CD7CC4"/>
    <w:rsid w:val="00CE388F"/>
    <w:rsid w:val="00CE5E47"/>
    <w:rsid w:val="00CF020F"/>
    <w:rsid w:val="00CF1E9D"/>
    <w:rsid w:val="00CF2B5B"/>
    <w:rsid w:val="00D055D3"/>
    <w:rsid w:val="00D14CE0"/>
    <w:rsid w:val="00D278AC"/>
    <w:rsid w:val="00D41719"/>
    <w:rsid w:val="00D54009"/>
    <w:rsid w:val="00D5651D"/>
    <w:rsid w:val="00D57A34"/>
    <w:rsid w:val="00D643B3"/>
    <w:rsid w:val="00D74898"/>
    <w:rsid w:val="00D801ED"/>
    <w:rsid w:val="00D936BC"/>
    <w:rsid w:val="00D96530"/>
    <w:rsid w:val="00DA7AA1"/>
    <w:rsid w:val="00DD44AF"/>
    <w:rsid w:val="00DE2AC3"/>
    <w:rsid w:val="00DE5692"/>
    <w:rsid w:val="00DF3E19"/>
    <w:rsid w:val="00DF6908"/>
    <w:rsid w:val="00E0231F"/>
    <w:rsid w:val="00E03C94"/>
    <w:rsid w:val="00E2134A"/>
    <w:rsid w:val="00E26226"/>
    <w:rsid w:val="00E45D05"/>
    <w:rsid w:val="00E55816"/>
    <w:rsid w:val="00E55AEF"/>
    <w:rsid w:val="00E870AC"/>
    <w:rsid w:val="00E94DBA"/>
    <w:rsid w:val="00E976C1"/>
    <w:rsid w:val="00EA12E5"/>
    <w:rsid w:val="00EB55C6"/>
    <w:rsid w:val="00EC7F04"/>
    <w:rsid w:val="00ED30BC"/>
    <w:rsid w:val="00F00DDC"/>
    <w:rsid w:val="00F01223"/>
    <w:rsid w:val="00F02766"/>
    <w:rsid w:val="00F05BD4"/>
    <w:rsid w:val="00F2404A"/>
    <w:rsid w:val="00F60D05"/>
    <w:rsid w:val="00F6155B"/>
    <w:rsid w:val="00F65C19"/>
    <w:rsid w:val="00F7356B"/>
    <w:rsid w:val="00F80977"/>
    <w:rsid w:val="00F83F75"/>
    <w:rsid w:val="00FC2A73"/>
    <w:rsid w:val="00FD2546"/>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E441881"/>
  <w15:docId w15:val="{3BE2DC32-E4F9-44A4-BEF6-497F66E8D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A7AA1"/>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pPr>
      <w:keepNext/>
      <w:keepLines/>
      <w:spacing w:before="280"/>
      <w:ind w:left="1134" w:hanging="1134"/>
      <w:outlineLvl w:val="0"/>
    </w:pPr>
    <w:rPr>
      <w:b/>
      <w:sz w:val="28"/>
    </w:rPr>
  </w:style>
  <w:style w:type="paragraph" w:styleId="Heading2">
    <w:name w:val="heading 2"/>
    <w:basedOn w:val="Heading1"/>
    <w:next w:val="Normal"/>
    <w:pPr>
      <w:spacing w:before="200"/>
      <w:outlineLvl w:val="1"/>
    </w:pPr>
    <w:rPr>
      <w:sz w:val="24"/>
    </w:rPr>
  </w:style>
  <w:style w:type="paragraph" w:styleId="Heading3">
    <w:name w:val="heading 3"/>
    <w:basedOn w:val="Heading1"/>
    <w:next w:val="Normal"/>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pPr>
      <w:outlineLvl w:val="5"/>
    </w:pPr>
  </w:style>
  <w:style w:type="paragraph" w:styleId="Heading7">
    <w:name w:val="heading 7"/>
    <w:basedOn w:val="Heading6"/>
    <w:next w:val="Normal"/>
    <w:pPr>
      <w:outlineLvl w:val="6"/>
    </w:pPr>
  </w:style>
  <w:style w:type="paragraph" w:styleId="Heading8">
    <w:name w:val="heading 8"/>
    <w:basedOn w:val="Heading6"/>
    <w:next w:val="Normal"/>
    <w:pPr>
      <w:outlineLvl w:val="7"/>
    </w:pPr>
  </w:style>
  <w:style w:type="paragraph" w:styleId="Heading9">
    <w:name w:val="heading 9"/>
    <w:basedOn w:val="Heading6"/>
    <w:next w:val="Normal"/>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7066BA"/>
    <w:pPr>
      <w:keepNext/>
      <w:keepLines/>
      <w:spacing w:before="160"/>
      <w:ind w:left="79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qFormat/>
    <w:rsid w:val="007066BA"/>
    <w:pPr>
      <w:tabs>
        <w:tab w:val="left" w:pos="2608"/>
        <w:tab w:val="left" w:pos="3345"/>
      </w:tabs>
      <w:spacing w:before="80"/>
      <w:ind w:left="794" w:hanging="794"/>
    </w:pPr>
  </w:style>
  <w:style w:type="paragraph" w:customStyle="1" w:styleId="enumlev2">
    <w:name w:val="enumlev2"/>
    <w:basedOn w:val="enumlev1"/>
    <w:rsid w:val="007066BA"/>
    <w:pPr>
      <w:ind w:left="1191" w:hanging="397"/>
    </w:pPr>
  </w:style>
  <w:style w:type="paragraph" w:customStyle="1" w:styleId="enumlev3">
    <w:name w:val="enumlev3"/>
    <w:basedOn w:val="enumlev2"/>
    <w:rsid w:val="00745AEE"/>
    <w:pPr>
      <w:ind w:left="2268"/>
    </w:pPr>
  </w:style>
  <w:style w:type="paragraph" w:customStyle="1" w:styleId="Equation">
    <w:name w:val="Equation"/>
    <w:basedOn w:val="Normal"/>
    <w:rsid w:val="00745AEE"/>
    <w:pPr>
      <w:tabs>
        <w:tab w:val="center" w:pos="4820"/>
        <w:tab w:val="right" w:pos="9639"/>
      </w:tabs>
    </w:pPr>
  </w:style>
  <w:style w:type="paragraph" w:customStyle="1" w:styleId="Equationlegend">
    <w:name w:val="Equation_legend"/>
    <w:basedOn w:val="NormalIndent"/>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style>
  <w:style w:type="character" w:customStyle="1" w:styleId="FootnoteTextChar">
    <w:name w:val="Footnote Text Char"/>
    <w:basedOn w:val="DefaultParagraphFont"/>
    <w:link w:val="FootnoteTex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7066BA"/>
    <w:pPr>
      <w:keepNext/>
      <w:tabs>
        <w:tab w:val="clear" w:pos="794"/>
        <w:tab w:val="clear" w:pos="1191"/>
        <w:tab w:val="clear" w:pos="1588"/>
        <w:tab w:val="clear" w:pos="1985"/>
        <w:tab w:val="left" w:pos="1134"/>
      </w:tabs>
      <w:spacing w:before="240"/>
    </w:pPr>
    <w:rPr>
      <w:rFonts w:hAnsi="Times New Roman Bold"/>
      <w:b/>
    </w:rPr>
  </w:style>
  <w:style w:type="paragraph" w:customStyle="1" w:styleId="Reasons">
    <w:name w:val="Reasons"/>
    <w:basedOn w:val="Normal"/>
    <w:rsid w:val="00DE5692"/>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260B50"/>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67500B"/>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F6908"/>
    <w:rPr>
      <w:i/>
    </w:rPr>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rsid w:val="00263BE8"/>
    <w:pPr>
      <w:jc w:val="center"/>
    </w:pPr>
    <w:rPr>
      <w:rFonts w:ascii="Times New Roman" w:cs="Times New Roman"/>
      <w:b w:val="0"/>
    </w:rPr>
  </w:style>
  <w:style w:type="paragraph" w:customStyle="1" w:styleId="Restitle">
    <w:name w:val="Res_title"/>
    <w:basedOn w:val="Rectitle"/>
    <w:next w:val="Normal"/>
    <w:rsid w:val="00DE2AC3"/>
  </w:style>
  <w:style w:type="character" w:styleId="CommentReference">
    <w:name w:val="annotation reference"/>
    <w:basedOn w:val="DefaultParagraphFont"/>
    <w:semiHidden/>
    <w:unhideWhenUsed/>
    <w:rsid w:val="00D643B3"/>
    <w:rPr>
      <w:sz w:val="16"/>
      <w:szCs w:val="16"/>
    </w:rPr>
  </w:style>
  <w:style w:type="paragraph" w:styleId="CommentText">
    <w:name w:val="annotation text"/>
    <w:basedOn w:val="Normal"/>
    <w:link w:val="CommentTextChar"/>
    <w:semiHidden/>
    <w:unhideWhenUsed/>
    <w:rsid w:val="00D643B3"/>
    <w:rPr>
      <w:sz w:val="20"/>
    </w:rPr>
  </w:style>
  <w:style w:type="character" w:customStyle="1" w:styleId="CommentTextChar">
    <w:name w:val="Comment Text Char"/>
    <w:basedOn w:val="DefaultParagraphFont"/>
    <w:link w:val="CommentText"/>
    <w:semiHidden/>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semiHidden/>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rsid w:val="00742F1D"/>
    <w:rPr>
      <w:rFonts w:ascii="Verdana" w:hAnsi="Verdana" w:cs="Times New Roman Bold"/>
      <w:b/>
      <w:bCs/>
      <w:lang w:val="en-GB" w:eastAsia="en-US"/>
    </w:rPr>
  </w:style>
  <w:style w:type="paragraph" w:styleId="BalloonText">
    <w:name w:val="Balloon Text"/>
    <w:basedOn w:val="Normal"/>
    <w:link w:val="BalloonTextChar"/>
    <w:semiHidden/>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4B4AAE"/>
    <w:rPr>
      <w:rFonts w:ascii="Segoe UI" w:hAnsi="Segoe UI" w:cs="Segoe UI"/>
      <w:sz w:val="18"/>
      <w:szCs w:val="18"/>
      <w:lang w:val="en-GB" w:eastAsia="en-US"/>
    </w:rPr>
  </w:style>
  <w:style w:type="paragraph" w:customStyle="1" w:styleId="OpinionNo">
    <w:name w:val="Opinion_No"/>
    <w:basedOn w:val="ResNo"/>
    <w:next w:val="Normal"/>
    <w:qFormat/>
    <w:rsid w:val="004C6FBE"/>
  </w:style>
  <w:style w:type="paragraph" w:customStyle="1" w:styleId="Opinionref">
    <w:name w:val="Opinion_ref"/>
    <w:basedOn w:val="Normal"/>
    <w:next w:val="Normalaftertitle"/>
    <w:qFormat/>
    <w:rsid w:val="004C6FBE"/>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0">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semiHidden/>
    <w:unhideWhenUsed/>
    <w:rsid w:val="00777235"/>
    <w:rPr>
      <w:color w:val="0000FF" w:themeColor="hyperlink"/>
      <w:u w:val="single"/>
    </w:rPr>
  </w:style>
  <w:style w:type="character" w:customStyle="1" w:styleId="href">
    <w:name w:val="href"/>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microsoft.com/office/2011/relationships/people" Target="peop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f11a58cb-a96a-4555-9d06-86300e84f344">DPM</DPM_x0020_Author>
    <DPM_x0020_File_x0020_name xmlns="f11a58cb-a96a-4555-9d06-86300e84f344">T17-WTSA.20-C-0038!A24!MSW-E</DPM_x0020_File_x0020_name>
    <DPM_x0020_Version xmlns="f11a58cb-a96a-4555-9d06-86300e84f344">DPM_2019.11.13.01</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f11a58cb-a96a-4555-9d06-86300e84f344" targetNamespace="http://schemas.microsoft.com/office/2006/metadata/properties" ma:root="true" ma:fieldsID="d41af5c836d734370eb92e7ee5f83852" ns2:_="" ns3:_="">
    <xsd:import namespace="996b2e75-67fd-4955-a3b0-5ab9934cb50b"/>
    <xsd:import namespace="f11a58cb-a96a-4555-9d06-86300e84f344"/>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f11a58cb-a96a-4555-9d06-86300e84f344"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ct:contentTypeSchema xmlns:ct="http://schemas.microsoft.com/office/2006/metadata/contentType" xmlns:ma="http://schemas.microsoft.com/office/2006/metadata/properties/metaAttributes" ct:_="" ma:_="" ma:contentTypeName="Document" ma:contentTypeID="0x01010095CA4C345D802F49AA39C3CBAC576D5B" ma:contentTypeVersion="11" ma:contentTypeDescription="Create a new document." ma:contentTypeScope="" ma:versionID="a7c2fe3c3b1507ec8e91bb366c32821b">
  <xsd:schema xmlns:xsd="http://www.w3.org/2001/XMLSchema" xmlns:xs="http://www.w3.org/2001/XMLSchema" xmlns:p="http://schemas.microsoft.com/office/2006/metadata/properties" xmlns:ns2="060e8e06-0ab1-43d2-b04a-41299106b25a" xmlns:ns3="bc0b450c-ff0a-44fa-a43c-58f6e857e634" targetNamespace="http://schemas.microsoft.com/office/2006/metadata/properties" ma:root="true" ma:fieldsID="18c279b8f9f992cdc6d8d042f640c3bf" ns2:_="" ns3:_="">
    <xsd:import namespace="060e8e06-0ab1-43d2-b04a-41299106b25a"/>
    <xsd:import namespace="bc0b450c-ff0a-44fa-a43c-58f6e857e63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0e8e06-0ab1-43d2-b04a-41299106b2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c0b450c-ff0a-44fa-a43c-58f6e857e634"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f11a58cb-a96a-4555-9d06-86300e84f344"/>
  </ds:schemaRefs>
</ds:datastoreItem>
</file>

<file path=customXml/itemProps2.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f11a58cb-a96a-4555-9d06-86300e84f3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69F765C-561A-4648-A159-6B860FD4C1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0e8e06-0ab1-43d2-b04a-41299106b25a"/>
    <ds:schemaRef ds:uri="bc0b450c-ff0a-44fa-a43c-58f6e857e6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6F434A0-88D6-42F2-B581-4C8137D5041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893</Words>
  <Characters>6125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7004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T17-WTSA.20-C-0038!A24!MSW-E</dc:title>
  <dc:subject>World Telecommunication Standardization Assembly</dc:subject>
  <dc:creator>Documents Proposals Manager (DPM)</dc:creator>
  <cp:keywords>DPM_v2021.3.2.1_prod</cp:keywords>
  <dc:description>Template used by DPM and CPI for the WTSA-20</dc:description>
  <cp:lastModifiedBy>Scott, Sarah</cp:lastModifiedBy>
  <cp:revision>5</cp:revision>
  <cp:lastPrinted>2016-06-06T07:49:00Z</cp:lastPrinted>
  <dcterms:created xsi:type="dcterms:W3CDTF">2021-07-22T12:42:00Z</dcterms:created>
  <dcterms:modified xsi:type="dcterms:W3CDTF">2021-09-17T17:39:00Z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ies>
</file>