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44E8A919" w14:textId="77777777" w:rsidTr="0018460D">
        <w:trPr>
          <w:cantSplit/>
        </w:trPr>
        <w:tc>
          <w:tcPr>
            <w:tcW w:w="6614" w:type="dxa"/>
            <w:vAlign w:val="center"/>
            <w:hideMark/>
          </w:tcPr>
          <w:p w14:paraId="610E58B0"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E6D500B" w14:textId="1355D061" w:rsidR="00C244A8" w:rsidRPr="00400909" w:rsidRDefault="00E56380" w:rsidP="00BA15E7">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E34731" w:rsidRPr="00E56380">
              <w:rPr>
                <w:rFonts w:ascii="SimSun" w:hAnsi="SimSun" w:cs="SimSun" w:hint="eastAsia"/>
                <w:b/>
                <w:bCs/>
                <w:smallCaps/>
                <w:sz w:val="20"/>
                <w:lang w:eastAsia="zh-CN"/>
              </w:rPr>
              <w:t>，</w:t>
            </w:r>
            <w:r w:rsidR="00BA15E7">
              <w:rPr>
                <w:rFonts w:ascii="SimSun" w:hAnsi="SimSun" w:cs="SimSun" w:hint="eastAsia"/>
                <w:b/>
                <w:bCs/>
                <w:smallCaps/>
                <w:sz w:val="20"/>
                <w:lang w:eastAsia="zh-CN"/>
              </w:rPr>
              <w:t>日内瓦</w:t>
            </w:r>
            <w:bookmarkStart w:id="1" w:name="_GoBack"/>
            <w:bookmarkEnd w:id="0"/>
            <w:bookmarkEnd w:id="1"/>
          </w:p>
        </w:tc>
        <w:tc>
          <w:tcPr>
            <w:tcW w:w="3197" w:type="dxa"/>
            <w:vAlign w:val="center"/>
            <w:hideMark/>
          </w:tcPr>
          <w:p w14:paraId="42A4BCB8" w14:textId="77777777" w:rsidR="00C244A8" w:rsidRPr="00031E6B" w:rsidRDefault="00C244A8" w:rsidP="00C244A8">
            <w:pPr>
              <w:spacing w:after="160"/>
              <w:rPr>
                <w:sz w:val="22"/>
                <w:szCs w:val="22"/>
              </w:rPr>
            </w:pPr>
            <w:r>
              <w:rPr>
                <w:noProof/>
                <w:lang w:val="en-US" w:eastAsia="zh-CN"/>
              </w:rPr>
              <w:drawing>
                <wp:inline distT="0" distB="0" distL="0" distR="0" wp14:anchorId="71FD392C" wp14:editId="1A8750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D3D64D8" w14:textId="77777777" w:rsidTr="00E2414B">
        <w:trPr>
          <w:cantSplit/>
        </w:trPr>
        <w:tc>
          <w:tcPr>
            <w:tcW w:w="6614" w:type="dxa"/>
            <w:tcBorders>
              <w:top w:val="nil"/>
              <w:left w:val="nil"/>
              <w:bottom w:val="single" w:sz="12" w:space="0" w:color="auto"/>
              <w:right w:val="nil"/>
            </w:tcBorders>
          </w:tcPr>
          <w:p w14:paraId="2CABFE26"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D41B804" w14:textId="77777777" w:rsidR="009759FE" w:rsidRPr="000A3B30" w:rsidRDefault="009759FE" w:rsidP="00E2414B">
            <w:pPr>
              <w:spacing w:before="0"/>
              <w:rPr>
                <w:rFonts w:eastAsia="Times New Roman"/>
              </w:rPr>
            </w:pPr>
          </w:p>
        </w:tc>
      </w:tr>
      <w:tr w:rsidR="009759FE" w14:paraId="62AA215B" w14:textId="77777777" w:rsidTr="00E2414B">
        <w:trPr>
          <w:cantSplit/>
        </w:trPr>
        <w:tc>
          <w:tcPr>
            <w:tcW w:w="6614" w:type="dxa"/>
            <w:tcBorders>
              <w:top w:val="single" w:sz="12" w:space="0" w:color="auto"/>
              <w:left w:val="nil"/>
              <w:bottom w:val="nil"/>
              <w:right w:val="nil"/>
            </w:tcBorders>
          </w:tcPr>
          <w:p w14:paraId="775281D1" w14:textId="77777777" w:rsidR="009759FE" w:rsidRPr="00400909" w:rsidRDefault="009759FE" w:rsidP="00E2414B">
            <w:pPr>
              <w:spacing w:before="0"/>
              <w:rPr>
                <w:rFonts w:eastAsia="Times New Roman"/>
              </w:rPr>
            </w:pPr>
          </w:p>
        </w:tc>
        <w:tc>
          <w:tcPr>
            <w:tcW w:w="3197" w:type="dxa"/>
          </w:tcPr>
          <w:p w14:paraId="334B167A" w14:textId="77777777" w:rsidR="009759FE" w:rsidRPr="00031E6B" w:rsidRDefault="009759FE" w:rsidP="00E2414B">
            <w:pPr>
              <w:spacing w:before="0"/>
              <w:rPr>
                <w:rFonts w:ascii="Verdana" w:hAnsi="Verdana"/>
                <w:b/>
                <w:bCs/>
                <w:sz w:val="20"/>
                <w:szCs w:val="22"/>
              </w:rPr>
            </w:pPr>
          </w:p>
        </w:tc>
      </w:tr>
      <w:tr w:rsidR="000A3B30" w14:paraId="4F2FE7A5" w14:textId="77777777" w:rsidTr="00E2414B">
        <w:trPr>
          <w:cantSplit/>
        </w:trPr>
        <w:tc>
          <w:tcPr>
            <w:tcW w:w="6614" w:type="dxa"/>
          </w:tcPr>
          <w:p w14:paraId="33CE948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723B052" w14:textId="77777777" w:rsidR="000A3B30" w:rsidRPr="00622560" w:rsidRDefault="000A3B30" w:rsidP="00666E87">
            <w:pPr>
              <w:pStyle w:val="DocNumber"/>
            </w:pPr>
            <w:proofErr w:type="spellStart"/>
            <w:r>
              <w:t>文件</w:t>
            </w:r>
            <w:proofErr w:type="spellEnd"/>
            <w:r>
              <w:t xml:space="preserve"> 38(Add.15)</w:t>
            </w:r>
            <w:r w:rsidRPr="00622560">
              <w:t>-</w:t>
            </w:r>
            <w:r w:rsidRPr="000273B7">
              <w:t>C</w:t>
            </w:r>
          </w:p>
        </w:tc>
      </w:tr>
      <w:tr w:rsidR="000A3B30" w14:paraId="1B2A7EE0" w14:textId="77777777" w:rsidTr="00E2414B">
        <w:trPr>
          <w:cantSplit/>
        </w:trPr>
        <w:tc>
          <w:tcPr>
            <w:tcW w:w="6614" w:type="dxa"/>
          </w:tcPr>
          <w:p w14:paraId="7BD68512" w14:textId="77777777" w:rsidR="000A3B30" w:rsidRPr="00C324A8" w:rsidRDefault="000A3B30" w:rsidP="00E2414B">
            <w:pPr>
              <w:spacing w:before="0"/>
              <w:rPr>
                <w:rFonts w:ascii="Verdana" w:hAnsi="Verdana"/>
                <w:b/>
                <w:smallCaps/>
                <w:sz w:val="20"/>
              </w:rPr>
            </w:pPr>
          </w:p>
        </w:tc>
        <w:tc>
          <w:tcPr>
            <w:tcW w:w="3197" w:type="dxa"/>
            <w:hideMark/>
          </w:tcPr>
          <w:p w14:paraId="6FBC0576"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32673299" w14:textId="77777777" w:rsidTr="00E2414B">
        <w:trPr>
          <w:cantSplit/>
        </w:trPr>
        <w:tc>
          <w:tcPr>
            <w:tcW w:w="6614" w:type="dxa"/>
          </w:tcPr>
          <w:p w14:paraId="4852065B" w14:textId="77777777" w:rsidR="000A3B30" w:rsidRPr="00031E6B" w:rsidRDefault="000A3B30" w:rsidP="00E2414B">
            <w:pPr>
              <w:spacing w:before="0"/>
              <w:rPr>
                <w:sz w:val="22"/>
                <w:szCs w:val="22"/>
              </w:rPr>
            </w:pPr>
          </w:p>
        </w:tc>
        <w:tc>
          <w:tcPr>
            <w:tcW w:w="3197" w:type="dxa"/>
            <w:hideMark/>
          </w:tcPr>
          <w:p w14:paraId="0DCAA6A1"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83A6689" w14:textId="77777777" w:rsidTr="00E2414B">
        <w:trPr>
          <w:cantSplit/>
        </w:trPr>
        <w:tc>
          <w:tcPr>
            <w:tcW w:w="9811" w:type="dxa"/>
            <w:gridSpan w:val="2"/>
          </w:tcPr>
          <w:p w14:paraId="3C0CF5B1" w14:textId="77777777" w:rsidR="009D164C" w:rsidRPr="00031E6B" w:rsidRDefault="009D164C" w:rsidP="00E2414B">
            <w:pPr>
              <w:spacing w:before="0"/>
              <w:rPr>
                <w:rFonts w:ascii="Verdana" w:hAnsi="Verdana"/>
                <w:b/>
                <w:bCs/>
                <w:sz w:val="20"/>
                <w:szCs w:val="22"/>
              </w:rPr>
            </w:pPr>
          </w:p>
        </w:tc>
      </w:tr>
      <w:tr w:rsidR="000A3B30" w14:paraId="670C2E44" w14:textId="77777777" w:rsidTr="00E2414B">
        <w:trPr>
          <w:cantSplit/>
        </w:trPr>
        <w:tc>
          <w:tcPr>
            <w:tcW w:w="9811" w:type="dxa"/>
            <w:gridSpan w:val="2"/>
            <w:hideMark/>
          </w:tcPr>
          <w:p w14:paraId="537C6A70"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18CFABA9" w14:textId="77777777" w:rsidTr="00E2414B">
        <w:trPr>
          <w:cantSplit/>
        </w:trPr>
        <w:tc>
          <w:tcPr>
            <w:tcW w:w="9811" w:type="dxa"/>
            <w:gridSpan w:val="2"/>
            <w:hideMark/>
          </w:tcPr>
          <w:p w14:paraId="5957CFE7" w14:textId="03FA57F3" w:rsidR="000A3B30" w:rsidRPr="00400909" w:rsidRDefault="005E15B7" w:rsidP="00E2414B">
            <w:pPr>
              <w:pStyle w:val="Title1"/>
              <w:rPr>
                <w:rFonts w:ascii="Verdana" w:hAnsi="Verdana"/>
                <w:lang w:eastAsia="zh-CN"/>
              </w:rPr>
            </w:pPr>
            <w:r>
              <w:rPr>
                <w:rFonts w:hint="eastAsia"/>
                <w:lang w:eastAsia="zh-CN"/>
              </w:rPr>
              <w:t>关于修改</w:t>
            </w:r>
            <w:r w:rsidR="000A3B30" w:rsidRPr="000273B7">
              <w:rPr>
                <w:lang w:eastAsia="zh-CN"/>
              </w:rPr>
              <w:t>ITU-T A.2</w:t>
            </w:r>
            <w:r>
              <w:rPr>
                <w:rFonts w:hint="eastAsia"/>
                <w:lang w:eastAsia="zh-CN"/>
              </w:rPr>
              <w:t>建议书的提案</w:t>
            </w:r>
          </w:p>
        </w:tc>
      </w:tr>
      <w:tr w:rsidR="000A3B30" w14:paraId="7DFDCFE1" w14:textId="77777777" w:rsidTr="00E2414B">
        <w:trPr>
          <w:cantSplit/>
        </w:trPr>
        <w:tc>
          <w:tcPr>
            <w:tcW w:w="9811" w:type="dxa"/>
            <w:gridSpan w:val="2"/>
            <w:hideMark/>
          </w:tcPr>
          <w:p w14:paraId="71F92498" w14:textId="77777777" w:rsidR="000A3B30" w:rsidRPr="00400909" w:rsidRDefault="000A3B30" w:rsidP="00E2414B">
            <w:pPr>
              <w:pStyle w:val="Title2"/>
              <w:rPr>
                <w:rFonts w:ascii="Verdana" w:hAnsi="Verdana"/>
                <w:lang w:eastAsia="zh-CN"/>
              </w:rPr>
            </w:pPr>
          </w:p>
        </w:tc>
      </w:tr>
      <w:tr w:rsidR="000A3B30" w14:paraId="285FBD75" w14:textId="77777777" w:rsidTr="00BD7C7C">
        <w:trPr>
          <w:cantSplit/>
          <w:trHeight w:hRule="exact" w:val="120"/>
        </w:trPr>
        <w:tc>
          <w:tcPr>
            <w:tcW w:w="9811" w:type="dxa"/>
            <w:gridSpan w:val="2"/>
          </w:tcPr>
          <w:p w14:paraId="0D1CE3E7" w14:textId="77777777" w:rsidR="000A3B30" w:rsidRPr="000273B7" w:rsidRDefault="000A3B30" w:rsidP="00E2414B">
            <w:pPr>
              <w:pStyle w:val="Agendaitem"/>
              <w:rPr>
                <w:lang w:eastAsia="zh-CN"/>
              </w:rPr>
            </w:pPr>
          </w:p>
        </w:tc>
      </w:tr>
    </w:tbl>
    <w:p w14:paraId="7BF3EF3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0F8F9828" w14:textId="77777777" w:rsidTr="004913CE">
        <w:trPr>
          <w:cantSplit/>
        </w:trPr>
        <w:tc>
          <w:tcPr>
            <w:tcW w:w="1276" w:type="dxa"/>
          </w:tcPr>
          <w:p w14:paraId="582E1123"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A54500A" w14:textId="51F0969B" w:rsidR="003556C0" w:rsidRPr="00BD7C7C" w:rsidRDefault="0059663C" w:rsidP="00231452">
            <w:pPr>
              <w:rPr>
                <w:highlight w:val="yellow"/>
                <w:lang w:eastAsia="zh-CN"/>
              </w:rPr>
            </w:pPr>
            <w:r w:rsidRPr="0059663C">
              <w:rPr>
                <w:rFonts w:hint="eastAsia"/>
                <w:lang w:eastAsia="zh-CN"/>
              </w:rPr>
              <w:t>ITU-T A.2</w:t>
            </w:r>
            <w:r w:rsidRPr="0059663C">
              <w:rPr>
                <w:rFonts w:hint="eastAsia"/>
                <w:lang w:eastAsia="zh-CN"/>
              </w:rPr>
              <w:t>建议</w:t>
            </w:r>
            <w:r>
              <w:rPr>
                <w:rFonts w:hint="eastAsia"/>
                <w:lang w:eastAsia="zh-CN"/>
              </w:rPr>
              <w:t>书</w:t>
            </w:r>
            <w:r w:rsidRPr="0059663C">
              <w:rPr>
                <w:rFonts w:hint="eastAsia"/>
                <w:lang w:eastAsia="zh-CN"/>
              </w:rPr>
              <w:t>的拟议修订</w:t>
            </w:r>
            <w:r>
              <w:rPr>
                <w:rFonts w:hint="eastAsia"/>
                <w:lang w:eastAsia="zh-CN"/>
              </w:rPr>
              <w:t>案</w:t>
            </w:r>
            <w:r w:rsidRPr="0059663C">
              <w:rPr>
                <w:rFonts w:hint="eastAsia"/>
                <w:lang w:eastAsia="zh-CN"/>
              </w:rPr>
              <w:t>旨在确保在提交新的工作项目时，提供包含</w:t>
            </w:r>
            <w:r>
              <w:rPr>
                <w:rFonts w:hint="eastAsia"/>
                <w:lang w:eastAsia="zh-CN"/>
              </w:rPr>
              <w:t>国际电联</w:t>
            </w:r>
            <w:r w:rsidRPr="0059663C">
              <w:rPr>
                <w:rFonts w:hint="eastAsia"/>
                <w:lang w:eastAsia="zh-CN"/>
              </w:rPr>
              <w:t>研究组和其他</w:t>
            </w:r>
            <w:r>
              <w:rPr>
                <w:rFonts w:hint="eastAsia"/>
                <w:lang w:eastAsia="zh-CN"/>
              </w:rPr>
              <w:t>标准制定组织（</w:t>
            </w:r>
            <w:r w:rsidRPr="0059663C">
              <w:rPr>
                <w:rFonts w:hint="eastAsia"/>
                <w:lang w:eastAsia="zh-CN"/>
              </w:rPr>
              <w:t>SDO</w:t>
            </w:r>
            <w:r>
              <w:rPr>
                <w:rFonts w:hint="eastAsia"/>
                <w:lang w:eastAsia="zh-CN"/>
              </w:rPr>
              <w:t>）</w:t>
            </w:r>
            <w:r w:rsidRPr="0059663C">
              <w:rPr>
                <w:rFonts w:hint="eastAsia"/>
                <w:lang w:eastAsia="zh-CN"/>
              </w:rPr>
              <w:t>的</w:t>
            </w:r>
            <w:r>
              <w:rPr>
                <w:rFonts w:hint="eastAsia"/>
                <w:lang w:eastAsia="zh-CN"/>
              </w:rPr>
              <w:t>彻底的</w:t>
            </w:r>
            <w:r w:rsidRPr="0059663C">
              <w:rPr>
                <w:rFonts w:hint="eastAsia"/>
                <w:lang w:eastAsia="zh-CN"/>
              </w:rPr>
              <w:t>差距分析，以确保没有其他类似的工作已在进行</w:t>
            </w:r>
            <w:r>
              <w:rPr>
                <w:rFonts w:hint="eastAsia"/>
                <w:lang w:eastAsia="zh-CN"/>
              </w:rPr>
              <w:t>中</w:t>
            </w:r>
            <w:r w:rsidRPr="0059663C">
              <w:rPr>
                <w:rFonts w:hint="eastAsia"/>
                <w:lang w:eastAsia="zh-CN"/>
              </w:rPr>
              <w:t>，从而</w:t>
            </w:r>
            <w:r>
              <w:rPr>
                <w:rFonts w:hint="eastAsia"/>
                <w:lang w:eastAsia="zh-CN"/>
              </w:rPr>
              <w:t>避免</w:t>
            </w:r>
            <w:r w:rsidRPr="0059663C">
              <w:rPr>
                <w:rFonts w:hint="eastAsia"/>
                <w:lang w:eastAsia="zh-CN"/>
              </w:rPr>
              <w:t>重复工作。</w:t>
            </w:r>
            <w:r w:rsidRPr="0059663C">
              <w:rPr>
                <w:rFonts w:hint="eastAsia"/>
                <w:lang w:eastAsia="zh-CN"/>
              </w:rPr>
              <w:t>ITU-T A.1</w:t>
            </w:r>
            <w:r w:rsidRPr="0059663C">
              <w:rPr>
                <w:rFonts w:hint="eastAsia"/>
                <w:lang w:eastAsia="zh-CN"/>
              </w:rPr>
              <w:t>建议</w:t>
            </w:r>
            <w:r>
              <w:rPr>
                <w:rFonts w:hint="eastAsia"/>
                <w:lang w:eastAsia="zh-CN"/>
              </w:rPr>
              <w:t>书</w:t>
            </w:r>
            <w:r w:rsidRPr="0059663C">
              <w:rPr>
                <w:rFonts w:hint="eastAsia"/>
                <w:lang w:eastAsia="zh-CN"/>
              </w:rPr>
              <w:t>草案中的附件</w:t>
            </w:r>
            <w:r w:rsidRPr="0059663C">
              <w:rPr>
                <w:rFonts w:hint="eastAsia"/>
                <w:lang w:eastAsia="zh-CN"/>
              </w:rPr>
              <w:t>A</w:t>
            </w:r>
            <w:r w:rsidRPr="0059663C">
              <w:rPr>
                <w:rFonts w:hint="eastAsia"/>
                <w:lang w:eastAsia="zh-CN"/>
              </w:rPr>
              <w:t>详细说明了这一差距分析应提交的形式</w:t>
            </w:r>
            <w:r>
              <w:rPr>
                <w:rFonts w:hint="eastAsia"/>
                <w:lang w:eastAsia="zh-CN"/>
              </w:rPr>
              <w:t>。</w:t>
            </w:r>
          </w:p>
        </w:tc>
      </w:tr>
    </w:tbl>
    <w:p w14:paraId="12CCE836" w14:textId="499FED43" w:rsidR="00574CC8" w:rsidRPr="00574CC8" w:rsidRDefault="00350764" w:rsidP="00574CC8">
      <w:pPr>
        <w:pStyle w:val="Headingb"/>
        <w:rPr>
          <w:lang w:val="en-US"/>
        </w:rPr>
      </w:pPr>
      <w:r>
        <w:rPr>
          <w:rFonts w:hint="eastAsia"/>
          <w:lang w:val="en-US" w:eastAsia="zh-CN"/>
        </w:rPr>
        <w:t>引言</w:t>
      </w:r>
    </w:p>
    <w:p w14:paraId="59F52380" w14:textId="6CD408FD" w:rsidR="00574CC8" w:rsidRDefault="00350764" w:rsidP="008025BF">
      <w:pPr>
        <w:ind w:firstLineChars="200" w:firstLine="480"/>
        <w:rPr>
          <w:lang w:eastAsia="zh-CN"/>
        </w:rPr>
      </w:pPr>
      <w:r w:rsidRPr="00350764">
        <w:rPr>
          <w:rFonts w:hint="eastAsia"/>
          <w:lang w:eastAsia="zh-CN"/>
        </w:rPr>
        <w:t>在</w:t>
      </w:r>
      <w:r>
        <w:rPr>
          <w:rFonts w:hint="eastAsia"/>
          <w:lang w:eastAsia="zh-CN"/>
        </w:rPr>
        <w:t>一些</w:t>
      </w:r>
      <w:r w:rsidRPr="00350764">
        <w:rPr>
          <w:rFonts w:hint="eastAsia"/>
          <w:lang w:eastAsia="zh-CN"/>
        </w:rPr>
        <w:t>情况下，提议新工作项目的</w:t>
      </w:r>
      <w:r>
        <w:rPr>
          <w:rFonts w:hint="eastAsia"/>
          <w:lang w:eastAsia="zh-CN"/>
        </w:rPr>
        <w:t>文稿</w:t>
      </w:r>
      <w:r w:rsidRPr="00350764">
        <w:rPr>
          <w:rFonts w:hint="eastAsia"/>
          <w:lang w:eastAsia="zh-CN"/>
        </w:rPr>
        <w:t>要么</w:t>
      </w:r>
      <w:r>
        <w:rPr>
          <w:rFonts w:hint="eastAsia"/>
          <w:lang w:eastAsia="zh-CN"/>
        </w:rPr>
        <w:t>不含</w:t>
      </w:r>
      <w:r>
        <w:rPr>
          <w:lang w:eastAsia="zh-CN"/>
        </w:rPr>
        <w:t>ITU-T A.1</w:t>
      </w:r>
      <w:r>
        <w:rPr>
          <w:rFonts w:hint="eastAsia"/>
          <w:lang w:eastAsia="zh-CN"/>
        </w:rPr>
        <w:t>建议书附件</w:t>
      </w:r>
      <w:r>
        <w:rPr>
          <w:rFonts w:hint="eastAsia"/>
          <w:lang w:eastAsia="zh-CN"/>
        </w:rPr>
        <w:t>A</w:t>
      </w:r>
      <w:r>
        <w:rPr>
          <w:rFonts w:hint="eastAsia"/>
          <w:lang w:eastAsia="zh-CN"/>
        </w:rPr>
        <w:t>详述的</w:t>
      </w:r>
      <w:r w:rsidRPr="00350764">
        <w:rPr>
          <w:rFonts w:hint="eastAsia"/>
          <w:lang w:eastAsia="zh-CN"/>
        </w:rPr>
        <w:t>差距分析，要么</w:t>
      </w:r>
      <w:r>
        <w:rPr>
          <w:rFonts w:hint="eastAsia"/>
          <w:lang w:eastAsia="zh-CN"/>
        </w:rPr>
        <w:t>这种</w:t>
      </w:r>
      <w:r w:rsidRPr="00350764">
        <w:rPr>
          <w:rFonts w:hint="eastAsia"/>
          <w:lang w:eastAsia="zh-CN"/>
        </w:rPr>
        <w:t>差距分析</w:t>
      </w:r>
      <w:r w:rsidR="00E675FE">
        <w:rPr>
          <w:rFonts w:hint="eastAsia"/>
          <w:lang w:eastAsia="zh-CN"/>
        </w:rPr>
        <w:t>很</w:t>
      </w:r>
      <w:r w:rsidRPr="00350764">
        <w:rPr>
          <w:rFonts w:hint="eastAsia"/>
          <w:lang w:eastAsia="zh-CN"/>
        </w:rPr>
        <w:t>不充分</w:t>
      </w:r>
      <w:r w:rsidR="0062492B">
        <w:rPr>
          <w:rFonts w:hint="eastAsia"/>
          <w:lang w:eastAsia="zh-CN"/>
        </w:rPr>
        <w:t>。</w:t>
      </w:r>
    </w:p>
    <w:p w14:paraId="2C5FD512" w14:textId="5CD5D6C4" w:rsidR="00574CC8" w:rsidRPr="00987B7A" w:rsidRDefault="0042522F" w:rsidP="00574CC8">
      <w:pPr>
        <w:pStyle w:val="Headingb"/>
        <w:rPr>
          <w:lang w:val="en-GB"/>
        </w:rPr>
      </w:pPr>
      <w:r>
        <w:rPr>
          <w:rFonts w:hint="eastAsia"/>
          <w:lang w:val="en-GB" w:eastAsia="zh-CN"/>
        </w:rPr>
        <w:t>提案</w:t>
      </w:r>
    </w:p>
    <w:p w14:paraId="737DD8C5" w14:textId="19DC8D5F" w:rsidR="005C7B12" w:rsidRPr="00F7417E" w:rsidRDefault="00574CC8" w:rsidP="008025BF">
      <w:pPr>
        <w:ind w:firstLineChars="200" w:firstLine="480"/>
        <w:rPr>
          <w:lang w:eastAsia="zh-CN"/>
        </w:rPr>
      </w:pPr>
      <w:r w:rsidRPr="007B3694">
        <w:rPr>
          <w:lang w:eastAsia="zh-CN"/>
        </w:rPr>
        <w:t>ITU-T A.2</w:t>
      </w:r>
      <w:r w:rsidR="0042522F">
        <w:rPr>
          <w:rFonts w:hint="eastAsia"/>
          <w:lang w:eastAsia="zh-CN"/>
        </w:rPr>
        <w:t>建议书修订案。</w:t>
      </w:r>
    </w:p>
    <w:p w14:paraId="3DF1F77A" w14:textId="77777777" w:rsidR="00502B2E" w:rsidRPr="00F7417E" w:rsidRDefault="00502B2E" w:rsidP="00F7417E">
      <w:pPr>
        <w:rPr>
          <w:lang w:eastAsia="zh-CN"/>
        </w:rPr>
      </w:pPr>
      <w:r w:rsidRPr="00F7417E">
        <w:rPr>
          <w:lang w:eastAsia="zh-CN"/>
        </w:rPr>
        <w:br w:type="page"/>
      </w:r>
    </w:p>
    <w:p w14:paraId="06AFCB2E" w14:textId="77777777" w:rsidR="00F6691C" w:rsidRDefault="00BB3A95">
      <w:pPr>
        <w:pStyle w:val="Proposal"/>
      </w:pPr>
      <w:r>
        <w:lastRenderedPageBreak/>
        <w:t>MOD</w:t>
      </w:r>
      <w:r>
        <w:tab/>
        <w:t>EUR/38A15/1</w:t>
      </w:r>
    </w:p>
    <w:p w14:paraId="21125E9B" w14:textId="77777777" w:rsidR="00C61045" w:rsidRPr="00E54DA1" w:rsidRDefault="00BB3A95" w:rsidP="00E54DA1">
      <w:pPr>
        <w:pStyle w:val="RecNo"/>
        <w:rPr>
          <w:lang w:eastAsia="zh-CN"/>
        </w:rPr>
      </w:pPr>
      <w:bookmarkStart w:id="2" w:name="_Toc478999706"/>
      <w:r w:rsidRPr="00BB42E4">
        <w:rPr>
          <w:rStyle w:val="href"/>
          <w:rFonts w:hint="eastAsia"/>
        </w:rPr>
        <w:t>ITU-T A.</w:t>
      </w:r>
      <w:r>
        <w:rPr>
          <w:rStyle w:val="href"/>
        </w:rPr>
        <w:t>2</w:t>
      </w:r>
      <w:r w:rsidRPr="00BB42E4">
        <w:rPr>
          <w:rStyle w:val="href"/>
          <w:rFonts w:hint="eastAsia"/>
        </w:rPr>
        <w:t>建议书</w:t>
      </w:r>
      <w:bookmarkEnd w:id="2"/>
    </w:p>
    <w:p w14:paraId="58C4314E" w14:textId="77777777" w:rsidR="009F6CC0" w:rsidRDefault="00BB3A95" w:rsidP="009C7FE7">
      <w:pPr>
        <w:pStyle w:val="Rectitle"/>
        <w:rPr>
          <w:lang w:eastAsia="zh-CN"/>
        </w:rPr>
      </w:pPr>
      <w:bookmarkStart w:id="3" w:name="_Toc478999707"/>
      <w:r>
        <w:rPr>
          <w:rFonts w:hint="eastAsia"/>
          <w:lang w:eastAsia="zh-CN"/>
        </w:rPr>
        <w:t>提交国际电联电信标准化部门的文稿的表述方式</w:t>
      </w:r>
      <w:bookmarkEnd w:id="3"/>
    </w:p>
    <w:p w14:paraId="79A464BC" w14:textId="77777777" w:rsidR="009F6CC0" w:rsidRDefault="00BB3A95" w:rsidP="009C7FE7">
      <w:pPr>
        <w:pStyle w:val="Recdate"/>
        <w:rPr>
          <w:iCs/>
        </w:rPr>
      </w:pPr>
      <w:r w:rsidRPr="00896679">
        <w:rPr>
          <w:rFonts w:hint="eastAsia"/>
          <w:iCs/>
        </w:rPr>
        <w:t>（</w:t>
      </w:r>
      <w:r w:rsidRPr="00896679">
        <w:rPr>
          <w:rFonts w:hint="eastAsia"/>
          <w:iCs/>
        </w:rPr>
        <w:t>1984</w:t>
      </w:r>
      <w:r w:rsidRPr="00896679">
        <w:rPr>
          <w:rFonts w:hint="eastAsia"/>
          <w:iCs/>
        </w:rPr>
        <w:t>年；</w:t>
      </w:r>
      <w:r w:rsidRPr="00896679">
        <w:rPr>
          <w:rFonts w:hint="eastAsia"/>
          <w:iCs/>
        </w:rPr>
        <w:t>1988</w:t>
      </w:r>
      <w:r w:rsidRPr="00896679">
        <w:rPr>
          <w:rFonts w:hint="eastAsia"/>
          <w:iCs/>
        </w:rPr>
        <w:t>年；</w:t>
      </w:r>
      <w:r w:rsidRPr="00896679">
        <w:rPr>
          <w:rFonts w:hint="eastAsia"/>
          <w:iCs/>
        </w:rPr>
        <w:t>1993</w:t>
      </w:r>
      <w:r w:rsidRPr="00896679">
        <w:rPr>
          <w:rFonts w:hint="eastAsia"/>
          <w:iCs/>
        </w:rPr>
        <w:t>年；</w:t>
      </w:r>
      <w:r w:rsidRPr="00896679">
        <w:rPr>
          <w:rFonts w:hint="eastAsia"/>
          <w:iCs/>
        </w:rPr>
        <w:t>1996</w:t>
      </w:r>
      <w:r w:rsidRPr="00896679">
        <w:rPr>
          <w:rFonts w:hint="eastAsia"/>
          <w:iCs/>
        </w:rPr>
        <w:t>年；</w:t>
      </w:r>
      <w:r w:rsidRPr="00896679">
        <w:rPr>
          <w:rFonts w:hint="eastAsia"/>
          <w:iCs/>
        </w:rPr>
        <w:t>2000</w:t>
      </w:r>
      <w:r w:rsidRPr="00896679">
        <w:rPr>
          <w:rFonts w:hint="eastAsia"/>
          <w:iCs/>
        </w:rPr>
        <w:t>年；</w:t>
      </w:r>
      <w:r w:rsidRPr="00896679">
        <w:rPr>
          <w:rFonts w:hint="eastAsia"/>
          <w:iCs/>
        </w:rPr>
        <w:t>2004</w:t>
      </w:r>
      <w:r w:rsidRPr="00896679">
        <w:rPr>
          <w:rFonts w:hint="eastAsia"/>
          <w:iCs/>
        </w:rPr>
        <w:t>年；</w:t>
      </w:r>
      <w:r w:rsidRPr="00896679">
        <w:rPr>
          <w:rFonts w:hint="eastAsia"/>
          <w:iCs/>
        </w:rPr>
        <w:t>2008</w:t>
      </w:r>
      <w:r w:rsidRPr="00896679">
        <w:rPr>
          <w:rFonts w:hint="eastAsia"/>
          <w:iCs/>
        </w:rPr>
        <w:t>年</w:t>
      </w:r>
      <w:r w:rsidRPr="00896679">
        <w:rPr>
          <w:rFonts w:hint="eastAsia"/>
          <w:iCs/>
          <w:lang w:eastAsia="zh-CN"/>
        </w:rPr>
        <w:t>；</w:t>
      </w:r>
      <w:r w:rsidRPr="00896679">
        <w:rPr>
          <w:rFonts w:hint="eastAsia"/>
          <w:iCs/>
          <w:lang w:eastAsia="zh-CN"/>
        </w:rPr>
        <w:t>2012</w:t>
      </w:r>
      <w:r w:rsidRPr="00896679">
        <w:rPr>
          <w:rFonts w:hint="eastAsia"/>
          <w:iCs/>
          <w:lang w:eastAsia="zh-CN"/>
        </w:rPr>
        <w:t>年</w:t>
      </w:r>
      <w:ins w:id="4" w:author="LI, Ziqian" w:date="2021-08-09T14:22:00Z">
        <w:r w:rsidR="00D30C81">
          <w:rPr>
            <w:rFonts w:hint="eastAsia"/>
            <w:iCs/>
            <w:lang w:eastAsia="zh-CN"/>
          </w:rPr>
          <w:t>；</w:t>
        </w:r>
        <w:r w:rsidR="00D30C81">
          <w:rPr>
            <w:rFonts w:hint="eastAsia"/>
            <w:iCs/>
            <w:lang w:eastAsia="zh-CN"/>
          </w:rPr>
          <w:t>2022</w:t>
        </w:r>
        <w:r w:rsidR="00D30C81">
          <w:rPr>
            <w:rFonts w:hint="eastAsia"/>
            <w:iCs/>
            <w:lang w:eastAsia="zh-CN"/>
          </w:rPr>
          <w:t>年</w:t>
        </w:r>
      </w:ins>
      <w:r w:rsidRPr="00896679">
        <w:rPr>
          <w:rFonts w:hint="eastAsia"/>
          <w:iCs/>
        </w:rPr>
        <w:t>）</w:t>
      </w:r>
    </w:p>
    <w:p w14:paraId="32B9739D" w14:textId="77777777" w:rsidR="00603744" w:rsidRDefault="00BB3A95" w:rsidP="007C5DA6">
      <w:pPr>
        <w:pStyle w:val="Headingb"/>
        <w:rPr>
          <w:lang w:eastAsia="zh-CN"/>
        </w:rPr>
      </w:pPr>
      <w:r>
        <w:rPr>
          <w:rFonts w:hint="eastAsia"/>
          <w:lang w:eastAsia="zh-CN"/>
        </w:rPr>
        <w:t>摘要</w:t>
      </w:r>
    </w:p>
    <w:p w14:paraId="0F95167E" w14:textId="77777777" w:rsidR="00603744" w:rsidRPr="00603744" w:rsidRDefault="00BB3A95" w:rsidP="00F2667A">
      <w:pPr>
        <w:ind w:firstLineChars="200" w:firstLine="480"/>
        <w:rPr>
          <w:lang w:eastAsia="zh-CN"/>
        </w:rPr>
      </w:pPr>
      <w:r>
        <w:rPr>
          <w:rFonts w:ascii="SimSun" w:cs="SimSun" w:hint="eastAsia"/>
          <w:lang w:val="zh-CN" w:eastAsia="zh-CN"/>
        </w:rPr>
        <w:t>本建议书为起草、表述和向</w:t>
      </w:r>
      <w:r w:rsidRPr="00B05AEF">
        <w:rPr>
          <w:lang w:val="zh-CN" w:eastAsia="zh-CN"/>
        </w:rPr>
        <w:t>ITU</w:t>
      </w:r>
      <w:r>
        <w:rPr>
          <w:rFonts w:hint="eastAsia"/>
          <w:lang w:val="zh-CN" w:eastAsia="zh-CN"/>
        </w:rPr>
        <w:t>-</w:t>
      </w:r>
      <w:r w:rsidRPr="00B05AEF">
        <w:rPr>
          <w:lang w:val="zh-CN" w:eastAsia="zh-CN"/>
        </w:rPr>
        <w:t>T</w:t>
      </w:r>
      <w:r>
        <w:rPr>
          <w:rFonts w:ascii="SimSun" w:cs="SimSun" w:hint="eastAsia"/>
          <w:lang w:val="zh-CN" w:eastAsia="zh-CN"/>
        </w:rPr>
        <w:t>研究组提交文稿提供了指导方法。</w:t>
      </w:r>
    </w:p>
    <w:p w14:paraId="658CAC0C" w14:textId="77777777" w:rsidR="009F6CC0" w:rsidRDefault="00BB3A95" w:rsidP="009C7FE7">
      <w:pPr>
        <w:pStyle w:val="Normalaftertitle"/>
        <w:rPr>
          <w:lang w:eastAsia="zh-CN"/>
        </w:rPr>
      </w:pPr>
      <w:r w:rsidRPr="0087179A">
        <w:rPr>
          <w:rFonts w:hint="eastAsia"/>
          <w:b/>
          <w:bCs/>
          <w:lang w:eastAsia="zh-CN"/>
        </w:rPr>
        <w:t>1</w:t>
      </w:r>
      <w:r>
        <w:rPr>
          <w:rFonts w:hint="eastAsia"/>
          <w:lang w:eastAsia="zh-CN"/>
        </w:rPr>
        <w:tab/>
      </w:r>
      <w:r>
        <w:rPr>
          <w:rFonts w:hint="eastAsia"/>
          <w:lang w:eastAsia="zh-CN"/>
        </w:rPr>
        <w:t>对于有关研究分配给国际电联电信标准化部门（</w:t>
      </w:r>
      <w:r>
        <w:rPr>
          <w:rFonts w:hint="eastAsia"/>
          <w:lang w:eastAsia="zh-CN"/>
        </w:rPr>
        <w:t>ITU-T</w:t>
      </w:r>
      <w:r>
        <w:rPr>
          <w:rFonts w:hint="eastAsia"/>
          <w:lang w:eastAsia="zh-CN"/>
        </w:rPr>
        <w:t>）课题的文稿的表述方式，应适用下列总体指导原则：</w:t>
      </w:r>
    </w:p>
    <w:p w14:paraId="60B1451D" w14:textId="77777777" w:rsidR="009F6CC0" w:rsidRDefault="00BB3A95" w:rsidP="009C7FE7">
      <w:pPr>
        <w:pStyle w:val="enumlev1"/>
        <w:rPr>
          <w:lang w:eastAsia="zh-CN"/>
        </w:rPr>
      </w:pPr>
      <w:r w:rsidRPr="008B1299">
        <w:rPr>
          <w:rFonts w:hint="eastAsia"/>
          <w:lang w:val="en-US" w:eastAsia="zh-CN"/>
        </w:rPr>
        <w:t>a)</w:t>
      </w:r>
      <w:r>
        <w:rPr>
          <w:rFonts w:hint="eastAsia"/>
          <w:lang w:eastAsia="zh-CN"/>
        </w:rPr>
        <w:tab/>
      </w:r>
      <w:r>
        <w:rPr>
          <w:rFonts w:hint="eastAsia"/>
          <w:lang w:eastAsia="zh-CN"/>
        </w:rPr>
        <w:t>文稿应言简意赅，避免对课题无直接裨益的不必要的细节、表格或统计数字。文字应明白易懂，即应尽可能地使用规范语言和国际通用术语，避免使用撰稿人本国的专用技术术语。供稿人应使用国际标准化组织（</w:t>
      </w:r>
      <w:r>
        <w:rPr>
          <w:rFonts w:hint="eastAsia"/>
          <w:lang w:eastAsia="zh-CN"/>
        </w:rPr>
        <w:t>ISO</w:t>
      </w:r>
      <w:r>
        <w:rPr>
          <w:rFonts w:hint="eastAsia"/>
          <w:lang w:eastAsia="zh-CN"/>
        </w:rPr>
        <w:t>）和国际电工技术委员会（</w:t>
      </w:r>
      <w:r>
        <w:rPr>
          <w:rFonts w:hint="eastAsia"/>
          <w:lang w:eastAsia="zh-CN"/>
        </w:rPr>
        <w:t>IEC</w:t>
      </w:r>
      <w:r>
        <w:rPr>
          <w:rFonts w:hint="eastAsia"/>
          <w:lang w:eastAsia="zh-CN"/>
        </w:rPr>
        <w:t>）支持的国际单位制（</w:t>
      </w:r>
      <w:r>
        <w:rPr>
          <w:rFonts w:hint="eastAsia"/>
          <w:lang w:eastAsia="zh-CN"/>
        </w:rPr>
        <w:t>SI</w:t>
      </w:r>
      <w:r>
        <w:rPr>
          <w:rFonts w:hint="eastAsia"/>
          <w:lang w:eastAsia="zh-CN"/>
        </w:rPr>
        <w:t>）中的单位、字母符号和图表符号。此外，应使用协调世界时（</w:t>
      </w:r>
      <w:r>
        <w:rPr>
          <w:rFonts w:hint="eastAsia"/>
          <w:lang w:eastAsia="zh-CN"/>
        </w:rPr>
        <w:t>UTC</w:t>
      </w:r>
      <w:r>
        <w:rPr>
          <w:rFonts w:hint="eastAsia"/>
          <w:lang w:eastAsia="zh-CN"/>
        </w:rPr>
        <w:t>）表示时间。</w:t>
      </w:r>
    </w:p>
    <w:p w14:paraId="0BB553F0" w14:textId="77777777" w:rsidR="009F6CC0" w:rsidRDefault="00BB3A95" w:rsidP="009C7FE7">
      <w:pPr>
        <w:pStyle w:val="enumlev1"/>
        <w:rPr>
          <w:lang w:eastAsia="zh-CN"/>
        </w:rPr>
      </w:pPr>
      <w:r w:rsidRPr="008B1299">
        <w:rPr>
          <w:rFonts w:hint="eastAsia"/>
          <w:lang w:val="en-US" w:eastAsia="zh-CN"/>
        </w:rPr>
        <w:t>b)</w:t>
      </w:r>
      <w:r>
        <w:rPr>
          <w:rFonts w:hint="eastAsia"/>
          <w:lang w:eastAsia="zh-CN"/>
        </w:rPr>
        <w:tab/>
      </w:r>
      <w:r>
        <w:rPr>
          <w:rFonts w:hint="eastAsia"/>
          <w:lang w:eastAsia="zh-CN"/>
        </w:rPr>
        <w:t>按规则，每份文稿不应超过</w:t>
      </w:r>
      <w:r>
        <w:rPr>
          <w:rFonts w:hint="eastAsia"/>
          <w:lang w:eastAsia="zh-CN"/>
        </w:rPr>
        <w:t>2 500</w:t>
      </w:r>
      <w:r>
        <w:rPr>
          <w:rFonts w:hint="eastAsia"/>
          <w:lang w:eastAsia="zh-CN"/>
        </w:rPr>
        <w:t>字（分发的打印文件不超过五页），所包括的图表不应超过三页（共计八页）。每份文稿应附一份</w:t>
      </w:r>
      <w:r>
        <w:rPr>
          <w:rFonts w:hint="eastAsia"/>
          <w:lang w:eastAsia="zh-CN"/>
        </w:rPr>
        <w:t>150-200</w:t>
      </w:r>
      <w:r>
        <w:rPr>
          <w:rFonts w:hint="eastAsia"/>
          <w:lang w:eastAsia="zh-CN"/>
        </w:rPr>
        <w:t>字以内、归纳文稿目的及专业内容的摘要。凡属可能，应在正文前加上“标头说明”（或“论述”）段落，该段落为证明文稿建议或结论的正确性提供必要的信息。文稿应以建议或（如不可行的话）结论（或按要求以两者）作为结束语。如建议本身理由充分，则不需要开头的“标头说明”段落。上述原则不适用于建议书草案；</w:t>
      </w:r>
    </w:p>
    <w:p w14:paraId="4661CEF7" w14:textId="77777777" w:rsidR="009F6CC0" w:rsidRDefault="00BB3A95" w:rsidP="009C7FE7">
      <w:pPr>
        <w:pStyle w:val="enumlev1"/>
        <w:rPr>
          <w:lang w:eastAsia="zh-CN"/>
        </w:rPr>
      </w:pPr>
      <w:r w:rsidRPr="008B1299">
        <w:rPr>
          <w:rFonts w:hint="eastAsia"/>
          <w:lang w:val="en-US" w:eastAsia="zh-CN"/>
        </w:rPr>
        <w:t>c)</w:t>
      </w:r>
      <w:r>
        <w:rPr>
          <w:rFonts w:hint="eastAsia"/>
          <w:lang w:eastAsia="zh-CN"/>
        </w:rPr>
        <w:tab/>
      </w:r>
      <w:r>
        <w:rPr>
          <w:rFonts w:hint="eastAsia"/>
          <w:lang w:eastAsia="zh-CN"/>
        </w:rPr>
        <w:t>不应提交与研究中的课题无直接关系且纯属理论性的文件；</w:t>
      </w:r>
    </w:p>
    <w:p w14:paraId="314DBD16" w14:textId="77777777" w:rsidR="009F6CC0" w:rsidRDefault="00BB3A95" w:rsidP="009C7FE7">
      <w:pPr>
        <w:pStyle w:val="enumlev1"/>
        <w:rPr>
          <w:lang w:eastAsia="zh-CN"/>
        </w:rPr>
      </w:pPr>
      <w:r w:rsidRPr="008B1299">
        <w:rPr>
          <w:rFonts w:hint="eastAsia"/>
          <w:lang w:val="en-US" w:eastAsia="zh-CN"/>
        </w:rPr>
        <w:t>d)</w:t>
      </w:r>
      <w:r>
        <w:rPr>
          <w:rFonts w:hint="eastAsia"/>
          <w:lang w:eastAsia="zh-CN"/>
        </w:rPr>
        <w:tab/>
      </w:r>
      <w:r>
        <w:rPr>
          <w:rFonts w:hint="eastAsia"/>
          <w:lang w:eastAsia="zh-CN"/>
        </w:rPr>
        <w:t>除非与研究中的课题直接相关，否则已经或将要在技术报刊上发表的文章不应提交</w:t>
      </w:r>
      <w:r>
        <w:rPr>
          <w:rFonts w:hint="eastAsia"/>
          <w:lang w:eastAsia="zh-CN"/>
        </w:rPr>
        <w:t>ITU-T</w:t>
      </w:r>
      <w:r>
        <w:rPr>
          <w:rFonts w:hint="eastAsia"/>
          <w:lang w:eastAsia="zh-CN"/>
        </w:rPr>
        <w:t>；</w:t>
      </w:r>
    </w:p>
    <w:p w14:paraId="0E5BC94A" w14:textId="77777777" w:rsidR="009F6CC0" w:rsidRDefault="00BB3A95" w:rsidP="009C7FE7">
      <w:pPr>
        <w:pStyle w:val="enumlev1"/>
        <w:rPr>
          <w:lang w:eastAsia="zh-CN"/>
        </w:rPr>
      </w:pPr>
      <w:r w:rsidRPr="008B1299">
        <w:rPr>
          <w:rFonts w:hint="eastAsia"/>
          <w:lang w:val="en-US" w:eastAsia="zh-CN"/>
        </w:rPr>
        <w:t>e)</w:t>
      </w:r>
      <w:r>
        <w:rPr>
          <w:rFonts w:hint="eastAsia"/>
          <w:lang w:eastAsia="zh-CN"/>
        </w:rPr>
        <w:tab/>
      </w:r>
      <w:r>
        <w:rPr>
          <w:rFonts w:hint="eastAsia"/>
          <w:lang w:eastAsia="zh-CN"/>
        </w:rPr>
        <w:t>文稿中不适当的商业性段落可由电信标准化局（</w:t>
      </w:r>
      <w:r>
        <w:rPr>
          <w:rFonts w:hint="eastAsia"/>
          <w:lang w:eastAsia="zh-CN"/>
        </w:rPr>
        <w:t>TSB</w:t>
      </w:r>
      <w:r>
        <w:rPr>
          <w:rFonts w:hint="eastAsia"/>
          <w:lang w:eastAsia="zh-CN"/>
        </w:rPr>
        <w:t>）主任经主席同意予以删除；须向撰稿人告之删除情况。</w:t>
      </w:r>
    </w:p>
    <w:p w14:paraId="7245DC9E" w14:textId="77777777" w:rsidR="009F6CC0" w:rsidRDefault="00BB3A95" w:rsidP="009C7FE7">
      <w:pPr>
        <w:ind w:firstLineChars="200" w:firstLine="480"/>
        <w:rPr>
          <w:lang w:eastAsia="zh-CN"/>
        </w:rPr>
      </w:pPr>
      <w:r>
        <w:rPr>
          <w:rFonts w:hint="eastAsia"/>
          <w:lang w:eastAsia="zh-CN"/>
        </w:rPr>
        <w:t>附录</w:t>
      </w:r>
      <w:r>
        <w:rPr>
          <w:rFonts w:hint="eastAsia"/>
          <w:lang w:eastAsia="zh-CN"/>
        </w:rPr>
        <w:t>I</w:t>
      </w:r>
      <w:r>
        <w:rPr>
          <w:rFonts w:hint="eastAsia"/>
          <w:lang w:eastAsia="zh-CN"/>
        </w:rPr>
        <w:t>介绍有关文稿编写的详细指导原则。有关</w:t>
      </w:r>
      <w:r>
        <w:rPr>
          <w:rFonts w:hint="eastAsia"/>
          <w:lang w:eastAsia="zh-CN"/>
        </w:rPr>
        <w:t>ITU-T</w:t>
      </w:r>
      <w:r>
        <w:rPr>
          <w:rFonts w:hint="eastAsia"/>
          <w:lang w:eastAsia="zh-CN"/>
        </w:rPr>
        <w:t>文本的表述细节见“</w:t>
      </w:r>
      <w:r>
        <w:rPr>
          <w:rFonts w:hint="eastAsia"/>
          <w:lang w:eastAsia="zh-CN"/>
        </w:rPr>
        <w:t>ITU-T</w:t>
      </w:r>
      <w:r>
        <w:rPr>
          <w:rFonts w:hint="eastAsia"/>
          <w:lang w:eastAsia="zh-CN"/>
        </w:rPr>
        <w:t>建议书撰稿人指南”（以下简称“指南”）。</w:t>
      </w:r>
    </w:p>
    <w:p w14:paraId="7D2D9733" w14:textId="77777777" w:rsidR="009F6CC0" w:rsidRDefault="00BB3A95" w:rsidP="009C7FE7">
      <w:pPr>
        <w:rPr>
          <w:lang w:eastAsia="zh-CN"/>
        </w:rPr>
      </w:pPr>
      <w:r w:rsidRPr="0087179A">
        <w:rPr>
          <w:rFonts w:hint="eastAsia"/>
          <w:b/>
          <w:bCs/>
          <w:lang w:eastAsia="zh-CN"/>
        </w:rPr>
        <w:t>2</w:t>
      </w:r>
      <w:r>
        <w:rPr>
          <w:rFonts w:hint="eastAsia"/>
          <w:lang w:eastAsia="zh-CN"/>
        </w:rPr>
        <w:tab/>
      </w:r>
      <w:r>
        <w:rPr>
          <w:rFonts w:hint="eastAsia"/>
          <w:lang w:eastAsia="zh-CN"/>
        </w:rPr>
        <w:t>在文稿和临时文件（包括联络声明）提交方面，向</w:t>
      </w:r>
      <w:r>
        <w:rPr>
          <w:rFonts w:hint="eastAsia"/>
          <w:lang w:eastAsia="zh-CN"/>
        </w:rPr>
        <w:t>ITU-T</w:t>
      </w:r>
      <w:r>
        <w:rPr>
          <w:rFonts w:hint="eastAsia"/>
          <w:lang w:eastAsia="zh-CN"/>
        </w:rPr>
        <w:t>提交的所有文件均应尽可能用电子方式寄送；如果供稿人没有此类设施，则只提交纸质文件亦是可以接受的。</w:t>
      </w:r>
    </w:p>
    <w:p w14:paraId="590E7ED4" w14:textId="77777777" w:rsidR="009F6CC0" w:rsidRDefault="00BB3A95" w:rsidP="009C7FE7">
      <w:pPr>
        <w:ind w:firstLineChars="200" w:firstLine="480"/>
        <w:rPr>
          <w:lang w:eastAsia="zh-CN"/>
        </w:rPr>
      </w:pPr>
      <w:r>
        <w:rPr>
          <w:rFonts w:hint="eastAsia"/>
          <w:lang w:eastAsia="zh-CN"/>
        </w:rPr>
        <w:t>电子提交方式包括电子邮件及国际电联万维网界面。这些方法的详细情况和说明由</w:t>
      </w:r>
      <w:r>
        <w:rPr>
          <w:rFonts w:hint="eastAsia"/>
          <w:lang w:eastAsia="zh-CN"/>
        </w:rPr>
        <w:t>TSB</w:t>
      </w:r>
      <w:r>
        <w:rPr>
          <w:rFonts w:hint="eastAsia"/>
          <w:lang w:eastAsia="zh-CN"/>
        </w:rPr>
        <w:t>在</w:t>
      </w:r>
      <w:r>
        <w:rPr>
          <w:rFonts w:hint="eastAsia"/>
          <w:lang w:eastAsia="zh-CN"/>
        </w:rPr>
        <w:t>ITU-T</w:t>
      </w:r>
      <w:r>
        <w:rPr>
          <w:rFonts w:hint="eastAsia"/>
          <w:lang w:eastAsia="zh-CN"/>
        </w:rPr>
        <w:t>网站上不断更新并通过定期分发</w:t>
      </w:r>
      <w:r>
        <w:rPr>
          <w:rFonts w:hint="eastAsia"/>
          <w:lang w:eastAsia="zh-CN"/>
        </w:rPr>
        <w:t>TSB</w:t>
      </w:r>
      <w:r>
        <w:rPr>
          <w:rFonts w:hint="eastAsia"/>
          <w:lang w:eastAsia="zh-CN"/>
        </w:rPr>
        <w:t>通函予以通报。</w:t>
      </w:r>
    </w:p>
    <w:p w14:paraId="1C247C3C" w14:textId="77777777" w:rsidR="009F6CC0" w:rsidRDefault="00BB3A95" w:rsidP="009C7FE7">
      <w:pPr>
        <w:ind w:firstLineChars="200" w:firstLine="480"/>
        <w:rPr>
          <w:lang w:eastAsia="zh-CN"/>
        </w:rPr>
      </w:pPr>
      <w:r>
        <w:rPr>
          <w:rFonts w:hint="eastAsia"/>
          <w:lang w:eastAsia="zh-CN"/>
        </w:rPr>
        <w:t>如果以纸质形式提交文稿，则文稿须寄送</w:t>
      </w:r>
      <w:r>
        <w:rPr>
          <w:rFonts w:hint="eastAsia"/>
          <w:lang w:eastAsia="zh-CN"/>
        </w:rPr>
        <w:t>TSB</w:t>
      </w:r>
      <w:r>
        <w:rPr>
          <w:rFonts w:hint="eastAsia"/>
          <w:lang w:eastAsia="zh-CN"/>
        </w:rPr>
        <w:t>，并抄送研究组主席和副主席、工作组主席及相关报告人。</w:t>
      </w:r>
    </w:p>
    <w:p w14:paraId="3EBECEE2" w14:textId="77777777" w:rsidR="009F6CC0" w:rsidRDefault="00BB3A95" w:rsidP="009C7FE7">
      <w:pPr>
        <w:rPr>
          <w:lang w:eastAsia="zh-CN"/>
        </w:rPr>
      </w:pPr>
      <w:r w:rsidRPr="0087179A">
        <w:rPr>
          <w:rFonts w:hint="eastAsia"/>
          <w:b/>
          <w:bCs/>
          <w:lang w:eastAsia="zh-CN"/>
        </w:rPr>
        <w:t>3</w:t>
      </w:r>
      <w:r>
        <w:rPr>
          <w:rFonts w:hint="eastAsia"/>
          <w:lang w:eastAsia="zh-CN"/>
        </w:rPr>
        <w:tab/>
      </w:r>
      <w:r>
        <w:rPr>
          <w:rFonts w:hint="eastAsia"/>
          <w:lang w:eastAsia="zh-CN"/>
        </w:rPr>
        <w:t>文稿应尽可能能用</w:t>
      </w:r>
      <w:r>
        <w:rPr>
          <w:rFonts w:hint="eastAsia"/>
          <w:lang w:eastAsia="zh-CN"/>
        </w:rPr>
        <w:t>A4</w:t>
      </w:r>
      <w:r>
        <w:rPr>
          <w:rFonts w:hint="eastAsia"/>
          <w:lang w:eastAsia="zh-CN"/>
        </w:rPr>
        <w:t>纸格式打印。首页必须采用</w:t>
      </w:r>
      <w:r>
        <w:rPr>
          <w:rFonts w:hint="eastAsia"/>
          <w:lang w:eastAsia="zh-CN"/>
        </w:rPr>
        <w:t>ITU-T</w:t>
      </w:r>
      <w:r>
        <w:rPr>
          <w:rFonts w:hint="eastAsia"/>
          <w:lang w:eastAsia="zh-CN"/>
        </w:rPr>
        <w:t>文稿的标准板式。初稿必须使用国际电联的一种或多种正式和工作语文。当文稿中使用了已经译好的现有的</w:t>
      </w:r>
      <w:r>
        <w:rPr>
          <w:rFonts w:hint="eastAsia"/>
          <w:lang w:eastAsia="zh-CN"/>
        </w:rPr>
        <w:t>ITU-T</w:t>
      </w:r>
      <w:r>
        <w:rPr>
          <w:rFonts w:hint="eastAsia"/>
          <w:lang w:eastAsia="zh-CN"/>
        </w:rPr>
        <w:t>文本，则亦应向</w:t>
      </w:r>
      <w:r>
        <w:rPr>
          <w:rFonts w:hint="eastAsia"/>
          <w:lang w:eastAsia="zh-CN"/>
        </w:rPr>
        <w:t>TSB</w:t>
      </w:r>
      <w:r>
        <w:rPr>
          <w:rFonts w:hint="eastAsia"/>
          <w:lang w:eastAsia="zh-CN"/>
        </w:rPr>
        <w:t>提交一份列有准确引文出处的文稿复本。如文稿中使用了</w:t>
      </w:r>
      <w:r>
        <w:rPr>
          <w:rFonts w:hint="eastAsia"/>
          <w:lang w:eastAsia="zh-CN"/>
        </w:rPr>
        <w:t>ITU-T</w:t>
      </w:r>
      <w:r>
        <w:rPr>
          <w:rFonts w:hint="eastAsia"/>
          <w:lang w:eastAsia="zh-CN"/>
        </w:rPr>
        <w:t>图表，则不应删除</w:t>
      </w:r>
      <w:r>
        <w:rPr>
          <w:rFonts w:hint="eastAsia"/>
          <w:lang w:eastAsia="zh-CN"/>
        </w:rPr>
        <w:t>ITU-T</w:t>
      </w:r>
      <w:r>
        <w:rPr>
          <w:rFonts w:hint="eastAsia"/>
          <w:lang w:eastAsia="zh-CN"/>
        </w:rPr>
        <w:t>编号，且如对图表进行了修改，则应在编号后加上缩写的“修改”（</w:t>
      </w:r>
      <w:r>
        <w:rPr>
          <w:rFonts w:hint="eastAsia"/>
          <w:lang w:eastAsia="zh-CN"/>
        </w:rPr>
        <w:t>mod</w:t>
      </w:r>
      <w:r>
        <w:rPr>
          <w:rFonts w:hint="eastAsia"/>
          <w:lang w:eastAsia="zh-CN"/>
        </w:rPr>
        <w:t>）一词。如文稿或其他提交文件的文本没有特别要求，则应避免在文本中使用彩色。</w:t>
      </w:r>
    </w:p>
    <w:p w14:paraId="391379B6" w14:textId="77777777" w:rsidR="009F6CC0" w:rsidRDefault="00BB3A95" w:rsidP="00FB31D2">
      <w:pPr>
        <w:keepNext/>
        <w:keepLines/>
        <w:rPr>
          <w:lang w:eastAsia="zh-CN"/>
        </w:rPr>
      </w:pPr>
      <w:r w:rsidRPr="0087179A">
        <w:rPr>
          <w:rFonts w:hint="eastAsia"/>
          <w:b/>
          <w:bCs/>
          <w:lang w:eastAsia="zh-CN"/>
        </w:rPr>
        <w:lastRenderedPageBreak/>
        <w:t>4</w:t>
      </w:r>
      <w:r>
        <w:rPr>
          <w:rFonts w:hint="eastAsia"/>
          <w:lang w:eastAsia="zh-CN"/>
        </w:rPr>
        <w:tab/>
      </w:r>
      <w:r>
        <w:rPr>
          <w:rFonts w:hint="eastAsia"/>
          <w:lang w:eastAsia="zh-CN"/>
        </w:rPr>
        <w:t>如果某文稿包含电子资料（软件、测试数据等，本文简称“软件”），则应以附件的方式寄送</w:t>
      </w:r>
      <w:r>
        <w:rPr>
          <w:rFonts w:hint="eastAsia"/>
          <w:lang w:eastAsia="zh-CN"/>
        </w:rPr>
        <w:t>TSB</w:t>
      </w:r>
      <w:r>
        <w:rPr>
          <w:rFonts w:hint="eastAsia"/>
          <w:lang w:eastAsia="zh-CN"/>
        </w:rPr>
        <w:t>。</w:t>
      </w:r>
    </w:p>
    <w:p w14:paraId="3B310B24" w14:textId="09DFED65" w:rsidR="009F6CC0" w:rsidRDefault="00BB3A95" w:rsidP="009C7FE7">
      <w:pPr>
        <w:ind w:firstLineChars="200" w:firstLine="480"/>
        <w:rPr>
          <w:lang w:eastAsia="zh-CN"/>
        </w:rPr>
      </w:pPr>
      <w:r>
        <w:rPr>
          <w:rFonts w:hint="eastAsia"/>
          <w:lang w:eastAsia="zh-CN"/>
        </w:rPr>
        <w:t>鼓励供稿人提交作为电子后附资料的正规语言描述</w:t>
      </w:r>
      <w:r w:rsidR="006E6DC7">
        <w:rPr>
          <w:rFonts w:hint="eastAsia"/>
          <w:lang w:eastAsia="zh-CN"/>
        </w:rPr>
        <w:t>。</w:t>
      </w:r>
    </w:p>
    <w:p w14:paraId="63853D9E" w14:textId="77777777" w:rsidR="00FB31D2" w:rsidRDefault="00BB3A95">
      <w:pPr>
        <w:overflowPunct/>
        <w:autoSpaceDE/>
        <w:autoSpaceDN/>
        <w:adjustRightInd/>
        <w:spacing w:before="0"/>
        <w:textAlignment w:val="auto"/>
        <w:rPr>
          <w:b/>
          <w:lang w:val="fr-FR" w:eastAsia="zh-CN"/>
        </w:rPr>
      </w:pPr>
      <w:r>
        <w:rPr>
          <w:lang w:eastAsia="zh-CN"/>
        </w:rPr>
        <w:br w:type="page"/>
      </w:r>
    </w:p>
    <w:p w14:paraId="0999B290" w14:textId="77777777" w:rsidR="009F6CC0" w:rsidRDefault="00BB3A95" w:rsidP="009C7FE7">
      <w:pPr>
        <w:pStyle w:val="AppendixNoTitle"/>
        <w:rPr>
          <w:lang w:eastAsia="zh-CN"/>
        </w:rPr>
      </w:pPr>
      <w:r>
        <w:rPr>
          <w:rFonts w:hint="eastAsia"/>
          <w:lang w:eastAsia="zh-CN"/>
        </w:rPr>
        <w:lastRenderedPageBreak/>
        <w:t>附录</w:t>
      </w:r>
      <w:r>
        <w:rPr>
          <w:rFonts w:hint="eastAsia"/>
          <w:lang w:eastAsia="zh-CN"/>
        </w:rPr>
        <w:t>I</w:t>
      </w:r>
      <w:r>
        <w:rPr>
          <w:rFonts w:hint="eastAsia"/>
          <w:lang w:eastAsia="zh-CN"/>
        </w:rPr>
        <w:br/>
      </w:r>
      <w:r>
        <w:rPr>
          <w:lang w:eastAsia="zh-CN"/>
        </w:rPr>
        <w:br/>
      </w:r>
      <w:r>
        <w:rPr>
          <w:rFonts w:hint="eastAsia"/>
          <w:lang w:eastAsia="zh-CN"/>
        </w:rPr>
        <w:t>编写有关</w:t>
      </w:r>
      <w:r>
        <w:rPr>
          <w:rFonts w:hint="eastAsia"/>
          <w:lang w:eastAsia="zh-CN"/>
        </w:rPr>
        <w:t>ITU-T</w:t>
      </w:r>
      <w:r>
        <w:rPr>
          <w:rFonts w:hint="eastAsia"/>
          <w:lang w:eastAsia="zh-CN"/>
        </w:rPr>
        <w:t>课题研究文稿的详细指导原则</w:t>
      </w:r>
    </w:p>
    <w:p w14:paraId="686401D2" w14:textId="77777777" w:rsidR="009F6CC0" w:rsidRDefault="00BB3A95" w:rsidP="007C5DA6">
      <w:pPr>
        <w:pStyle w:val="Appendixref"/>
        <w:rPr>
          <w:lang w:eastAsia="zh-CN"/>
        </w:rPr>
      </w:pPr>
      <w:r>
        <w:rPr>
          <w:rFonts w:hint="eastAsia"/>
          <w:lang w:eastAsia="zh-CN"/>
        </w:rPr>
        <w:t>（本附录不构成本建议书的不可或缺部分）</w:t>
      </w:r>
    </w:p>
    <w:p w14:paraId="5FA6C861" w14:textId="77777777" w:rsidR="009F6CC0" w:rsidRDefault="00BB3A95" w:rsidP="009C7FE7">
      <w:pPr>
        <w:pStyle w:val="Note"/>
        <w:rPr>
          <w:lang w:eastAsia="zh-CN"/>
        </w:rPr>
      </w:pPr>
      <w:r>
        <w:rPr>
          <w:rFonts w:hint="eastAsia"/>
          <w:lang w:eastAsia="zh-CN"/>
        </w:rPr>
        <w:t>注</w:t>
      </w:r>
      <w:r>
        <w:rPr>
          <w:rFonts w:hint="eastAsia"/>
          <w:lang w:eastAsia="zh-CN"/>
        </w:rPr>
        <w:t xml:space="preserve"> </w:t>
      </w:r>
      <w:r>
        <w:rPr>
          <w:lang w:val="en-US" w:eastAsia="zh-CN"/>
        </w:rPr>
        <w:t>–</w:t>
      </w:r>
      <w:r>
        <w:rPr>
          <w:rFonts w:hint="eastAsia"/>
          <w:lang w:eastAsia="zh-CN"/>
        </w:rPr>
        <w:t xml:space="preserve"> TSB</w:t>
      </w:r>
      <w:r>
        <w:rPr>
          <w:rFonts w:hint="eastAsia"/>
          <w:lang w:eastAsia="zh-CN"/>
        </w:rPr>
        <w:t>在必要时可更新这些指导原则，更新版将在</w:t>
      </w:r>
      <w:r>
        <w:rPr>
          <w:rFonts w:hint="eastAsia"/>
          <w:lang w:eastAsia="zh-CN"/>
        </w:rPr>
        <w:t>ITU-T</w:t>
      </w:r>
      <w:r>
        <w:rPr>
          <w:rFonts w:hint="eastAsia"/>
          <w:lang w:eastAsia="zh-CN"/>
        </w:rPr>
        <w:t>网站上和</w:t>
      </w:r>
      <w:r>
        <w:rPr>
          <w:rFonts w:hint="eastAsia"/>
          <w:lang w:eastAsia="zh-CN"/>
        </w:rPr>
        <w:t>TSB</w:t>
      </w:r>
      <w:r>
        <w:rPr>
          <w:rFonts w:hint="eastAsia"/>
          <w:lang w:eastAsia="zh-CN"/>
        </w:rPr>
        <w:t>通函中发布。</w:t>
      </w:r>
    </w:p>
    <w:p w14:paraId="1C620B14" w14:textId="77777777" w:rsidR="009F6CC0" w:rsidRDefault="00BB3A95" w:rsidP="009C7FE7">
      <w:pPr>
        <w:ind w:firstLineChars="200" w:firstLine="480"/>
        <w:rPr>
          <w:lang w:eastAsia="zh-CN"/>
        </w:rPr>
      </w:pPr>
      <w:r>
        <w:rPr>
          <w:rFonts w:hint="eastAsia"/>
          <w:lang w:eastAsia="zh-CN"/>
        </w:rPr>
        <w:t>本附录中的指导原则是对</w:t>
      </w:r>
      <w:r>
        <w:rPr>
          <w:rFonts w:hint="eastAsia"/>
          <w:lang w:eastAsia="zh-CN"/>
        </w:rPr>
        <w:t>ITU-T A.2</w:t>
      </w:r>
      <w:r>
        <w:rPr>
          <w:rFonts w:hint="eastAsia"/>
          <w:lang w:eastAsia="zh-CN"/>
        </w:rPr>
        <w:t>建议书中的一般指导原则的补充。为便于参阅，这些原则分为两类，分别设有标题：一类涉及文稿的内容，另一类涉及文稿的表述方式。</w:t>
      </w:r>
    </w:p>
    <w:p w14:paraId="784FCFEF" w14:textId="77777777" w:rsidR="009F6CC0" w:rsidRDefault="00BB3A95" w:rsidP="009C7FE7">
      <w:pPr>
        <w:pStyle w:val="Heading2"/>
        <w:rPr>
          <w:lang w:eastAsia="zh-CN"/>
        </w:rPr>
      </w:pPr>
      <w:r>
        <w:rPr>
          <w:rFonts w:hint="eastAsia"/>
          <w:lang w:eastAsia="zh-CN"/>
        </w:rPr>
        <w:t>I.1</w:t>
      </w:r>
      <w:r>
        <w:rPr>
          <w:rFonts w:hint="eastAsia"/>
          <w:lang w:eastAsia="zh-CN"/>
        </w:rPr>
        <w:tab/>
      </w:r>
      <w:r>
        <w:rPr>
          <w:rFonts w:hint="eastAsia"/>
          <w:lang w:eastAsia="zh-CN"/>
        </w:rPr>
        <w:t>文稿内容</w:t>
      </w:r>
    </w:p>
    <w:p w14:paraId="28E90394" w14:textId="77777777" w:rsidR="009F6CC0" w:rsidRDefault="00BB3A95" w:rsidP="009C7FE7">
      <w:pPr>
        <w:ind w:firstLineChars="200" w:firstLine="480"/>
        <w:rPr>
          <w:lang w:eastAsia="zh-CN"/>
        </w:rPr>
      </w:pPr>
      <w:r>
        <w:rPr>
          <w:rFonts w:hint="eastAsia"/>
          <w:lang w:eastAsia="zh-CN"/>
        </w:rPr>
        <w:t>文稿应言简意赅，明白易懂。开篇应为独立的文件标头和摘要段落。文稿正文应包括两部分：说明（或论述）和建议（或结论）。必需时增加的诸如附件等附加部分应置于正文之后。关于正文结构的指导原则不适用于建议书草案或由报告人提交的报告。</w:t>
      </w:r>
    </w:p>
    <w:p w14:paraId="0E3B1312" w14:textId="77777777" w:rsidR="009F6CC0" w:rsidRDefault="00BB3A95" w:rsidP="009C7FE7">
      <w:pPr>
        <w:rPr>
          <w:lang w:eastAsia="zh-CN"/>
        </w:rPr>
      </w:pPr>
      <w:r w:rsidRPr="0087179A">
        <w:rPr>
          <w:rFonts w:hint="eastAsia"/>
          <w:b/>
          <w:bCs/>
          <w:lang w:eastAsia="zh-CN"/>
        </w:rPr>
        <w:t>I.1.1</w:t>
      </w:r>
      <w:r>
        <w:rPr>
          <w:rFonts w:hint="eastAsia"/>
          <w:lang w:eastAsia="zh-CN"/>
        </w:rPr>
        <w:tab/>
      </w:r>
      <w:r w:rsidRPr="0087179A">
        <w:rPr>
          <w:rFonts w:ascii="STKaiti" w:eastAsia="STKaiti" w:hAnsi="STKaiti" w:hint="eastAsia"/>
          <w:lang w:eastAsia="zh-CN"/>
        </w:rPr>
        <w:t>标头</w:t>
      </w:r>
      <w:r>
        <w:rPr>
          <w:rFonts w:hint="eastAsia"/>
          <w:lang w:eastAsia="zh-CN"/>
        </w:rPr>
        <w:t xml:space="preserve"> </w:t>
      </w:r>
      <w:r>
        <w:rPr>
          <w:lang w:val="en-US" w:eastAsia="zh-CN"/>
        </w:rPr>
        <w:t>–</w:t>
      </w:r>
      <w:r>
        <w:rPr>
          <w:rFonts w:hint="eastAsia"/>
          <w:lang w:val="en-US" w:eastAsia="zh-CN"/>
        </w:rPr>
        <w:t xml:space="preserve"> </w:t>
      </w:r>
      <w:r>
        <w:rPr>
          <w:rFonts w:hint="eastAsia"/>
          <w:lang w:eastAsia="zh-CN"/>
        </w:rPr>
        <w:t>提交电信标准化局的文稿的标头应说明：</w:t>
      </w:r>
    </w:p>
    <w:p w14:paraId="0B5745E6"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文稿针对的研究组课题编号；</w:t>
      </w:r>
    </w:p>
    <w:p w14:paraId="2E21506A"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接收文稿的会议的地点和日期；</w:t>
      </w:r>
    </w:p>
    <w:p w14:paraId="4F16AD67"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接收文稿的研究组和工作组；</w:t>
      </w:r>
    </w:p>
    <w:p w14:paraId="3407196B"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文稿来源：来源国和</w:t>
      </w:r>
      <w:r>
        <w:rPr>
          <w:rFonts w:hint="eastAsia"/>
          <w:lang w:eastAsia="zh-CN"/>
        </w:rPr>
        <w:t>/</w:t>
      </w:r>
      <w:r>
        <w:rPr>
          <w:rFonts w:hint="eastAsia"/>
          <w:lang w:eastAsia="zh-CN"/>
        </w:rPr>
        <w:t>或组织；</w:t>
      </w:r>
    </w:p>
    <w:p w14:paraId="0F66DEEA"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文稿的标题；</w:t>
      </w:r>
    </w:p>
    <w:p w14:paraId="78825D98" w14:textId="77777777" w:rsidR="009F6CC0" w:rsidRDefault="00BB3A95" w:rsidP="009C7FE7">
      <w:pPr>
        <w:pStyle w:val="enumlev1"/>
        <w:rPr>
          <w:lang w:eastAsia="zh-CN"/>
        </w:rPr>
      </w:pPr>
      <w:r>
        <w:rPr>
          <w:lang w:val="en-US" w:eastAsia="zh-CN"/>
        </w:rPr>
        <w:t>–</w:t>
      </w:r>
      <w:r>
        <w:rPr>
          <w:rFonts w:hint="eastAsia"/>
          <w:lang w:eastAsia="zh-CN"/>
        </w:rPr>
        <w:tab/>
      </w:r>
      <w:r>
        <w:rPr>
          <w:rFonts w:hint="eastAsia"/>
          <w:lang w:eastAsia="zh-CN"/>
        </w:rPr>
        <w:t>文稿撰稿人和</w:t>
      </w:r>
      <w:r>
        <w:rPr>
          <w:rFonts w:hint="eastAsia"/>
          <w:lang w:eastAsia="zh-CN"/>
        </w:rPr>
        <w:t>/</w:t>
      </w:r>
      <w:r>
        <w:rPr>
          <w:rFonts w:hint="eastAsia"/>
          <w:lang w:eastAsia="zh-CN"/>
        </w:rPr>
        <w:t>或代表的联络信息：姓名、组织、国家、电话、传真和电子邮件。</w:t>
      </w:r>
    </w:p>
    <w:p w14:paraId="3C4D7EF7" w14:textId="77777777" w:rsidR="009F6CC0" w:rsidRDefault="00BB3A95" w:rsidP="009C7FE7">
      <w:pPr>
        <w:ind w:firstLineChars="200" w:firstLine="480"/>
        <w:rPr>
          <w:lang w:eastAsia="zh-CN"/>
        </w:rPr>
      </w:pPr>
      <w:r>
        <w:rPr>
          <w:rFonts w:hint="eastAsia"/>
          <w:lang w:eastAsia="zh-CN"/>
        </w:rPr>
        <w:t>ITU-T</w:t>
      </w:r>
      <w:r>
        <w:rPr>
          <w:rFonts w:hint="eastAsia"/>
          <w:lang w:eastAsia="zh-CN"/>
        </w:rPr>
        <w:t>研究组和</w:t>
      </w:r>
      <w:r>
        <w:rPr>
          <w:rFonts w:hint="eastAsia"/>
          <w:lang w:eastAsia="zh-CN"/>
        </w:rPr>
        <w:t>TSAG</w:t>
      </w:r>
      <w:r>
        <w:rPr>
          <w:rFonts w:hint="eastAsia"/>
          <w:lang w:eastAsia="zh-CN"/>
        </w:rPr>
        <w:t>网站提供确定所建议的标头格式的模板（见“指南、工具和模板”）。</w:t>
      </w:r>
    </w:p>
    <w:p w14:paraId="040C8F31" w14:textId="77777777" w:rsidR="009F6CC0" w:rsidRDefault="00BB3A95" w:rsidP="009C7FE7">
      <w:pPr>
        <w:rPr>
          <w:lang w:eastAsia="zh-CN"/>
        </w:rPr>
      </w:pPr>
      <w:r w:rsidRPr="0087179A">
        <w:rPr>
          <w:rFonts w:hint="eastAsia"/>
          <w:b/>
          <w:bCs/>
          <w:lang w:eastAsia="zh-CN"/>
        </w:rPr>
        <w:t>I.1.2</w:t>
      </w:r>
      <w:r>
        <w:rPr>
          <w:rFonts w:hint="eastAsia"/>
          <w:lang w:eastAsia="zh-CN"/>
        </w:rPr>
        <w:tab/>
      </w:r>
      <w:r w:rsidRPr="0087179A">
        <w:rPr>
          <w:rFonts w:ascii="STKaiti" w:eastAsia="STKaiti" w:hAnsi="STKaiti" w:hint="eastAsia"/>
          <w:lang w:eastAsia="zh-CN"/>
        </w:rPr>
        <w:t>摘要</w:t>
      </w:r>
      <w:r>
        <w:rPr>
          <w:rFonts w:hint="eastAsia"/>
          <w:lang w:eastAsia="zh-CN"/>
        </w:rPr>
        <w:t xml:space="preserve"> </w:t>
      </w:r>
      <w:r>
        <w:rPr>
          <w:lang w:val="en-US" w:eastAsia="zh-CN"/>
        </w:rPr>
        <w:t>–</w:t>
      </w:r>
      <w:r>
        <w:rPr>
          <w:rFonts w:hint="eastAsia"/>
          <w:lang w:eastAsia="zh-CN"/>
        </w:rPr>
        <w:t xml:space="preserve"> </w:t>
      </w:r>
      <w:r>
        <w:rPr>
          <w:rFonts w:hint="eastAsia"/>
          <w:lang w:eastAsia="zh-CN"/>
        </w:rPr>
        <w:t>摘要应简洁明了地概括文稿的目的（例如，关于新建议书的提议）和内容（文稿的建议和</w:t>
      </w:r>
      <w:r>
        <w:rPr>
          <w:rFonts w:hint="eastAsia"/>
          <w:lang w:eastAsia="zh-CN"/>
        </w:rPr>
        <w:t>/</w:t>
      </w:r>
      <w:r>
        <w:rPr>
          <w:rFonts w:hint="eastAsia"/>
          <w:lang w:eastAsia="zh-CN"/>
        </w:rPr>
        <w:t>或结论）。此外，摘要应能使潜在的读者快速判断文稿是否包含其关心的领域的信息以及哪个（些）工作组应审议此文稿。这是文件中非常重要的一个部分，通常应在其他部分完成后得到编写。摘要不应超过</w:t>
      </w:r>
      <w:r>
        <w:rPr>
          <w:rFonts w:hint="eastAsia"/>
          <w:lang w:eastAsia="zh-CN"/>
        </w:rPr>
        <w:t>150-200</w:t>
      </w:r>
      <w:r>
        <w:rPr>
          <w:rFonts w:hint="eastAsia"/>
          <w:lang w:eastAsia="zh-CN"/>
        </w:rPr>
        <w:t>字。摘要内容应不仅能使文稿的目标读者理解，而且还要让其他研究组明白。</w:t>
      </w:r>
    </w:p>
    <w:p w14:paraId="70DE0CE3" w14:textId="77777777" w:rsidR="009F6CC0" w:rsidRDefault="00BB3A95" w:rsidP="009C7FE7">
      <w:pPr>
        <w:rPr>
          <w:lang w:eastAsia="zh-CN"/>
        </w:rPr>
      </w:pPr>
      <w:r w:rsidRPr="0087179A">
        <w:rPr>
          <w:rFonts w:hint="eastAsia"/>
          <w:b/>
          <w:bCs/>
          <w:lang w:eastAsia="zh-CN"/>
        </w:rPr>
        <w:t>I.1.3</w:t>
      </w:r>
      <w:r>
        <w:rPr>
          <w:rFonts w:hint="eastAsia"/>
          <w:lang w:eastAsia="zh-CN"/>
        </w:rPr>
        <w:tab/>
      </w:r>
      <w:r w:rsidRPr="0087179A">
        <w:rPr>
          <w:rFonts w:ascii="STKaiti" w:eastAsia="STKaiti" w:hAnsi="STKaiti" w:hint="eastAsia"/>
          <w:lang w:eastAsia="zh-CN"/>
        </w:rPr>
        <w:t>说明（论述）</w:t>
      </w:r>
      <w:r>
        <w:rPr>
          <w:lang w:val="en-US" w:eastAsia="zh-CN"/>
        </w:rPr>
        <w:t>–</w:t>
      </w:r>
      <w:r>
        <w:rPr>
          <w:rFonts w:hint="eastAsia"/>
          <w:lang w:eastAsia="zh-CN"/>
        </w:rPr>
        <w:t xml:space="preserve"> </w:t>
      </w:r>
      <w:r>
        <w:rPr>
          <w:rFonts w:hint="eastAsia"/>
          <w:lang w:eastAsia="zh-CN"/>
        </w:rPr>
        <w:t>本部分提出建议或结论的论述、理由和论证。由此引出主题（</w:t>
      </w:r>
      <w:r>
        <w:rPr>
          <w:rFonts w:hint="eastAsia"/>
          <w:lang w:eastAsia="zh-CN"/>
        </w:rPr>
        <w:t>Subject</w:t>
      </w:r>
      <w:r>
        <w:rPr>
          <w:rFonts w:hint="eastAsia"/>
          <w:lang w:eastAsia="zh-CN"/>
        </w:rPr>
        <w:t>）、阐述所使用的方法、有关看法或最终结果及对建议或结论的意义的评述。</w:t>
      </w:r>
    </w:p>
    <w:p w14:paraId="11A14240" w14:textId="77777777" w:rsidR="009F6CC0" w:rsidRDefault="00BB3A95" w:rsidP="009C7FE7">
      <w:pPr>
        <w:rPr>
          <w:lang w:eastAsia="zh-CN"/>
        </w:rPr>
      </w:pPr>
      <w:r w:rsidRPr="0087179A">
        <w:rPr>
          <w:rFonts w:hint="eastAsia"/>
          <w:b/>
          <w:bCs/>
          <w:lang w:eastAsia="zh-CN"/>
        </w:rPr>
        <w:t>I.1.4</w:t>
      </w:r>
      <w:r>
        <w:rPr>
          <w:rFonts w:hint="eastAsia"/>
          <w:lang w:eastAsia="zh-CN"/>
        </w:rPr>
        <w:tab/>
      </w:r>
      <w:r w:rsidRPr="0087179A">
        <w:rPr>
          <w:rFonts w:ascii="STKaiti" w:eastAsia="STKaiti" w:hAnsi="STKaiti" w:hint="eastAsia"/>
          <w:lang w:eastAsia="zh-CN"/>
        </w:rPr>
        <w:t>建议（结论）</w:t>
      </w:r>
      <w:r>
        <w:rPr>
          <w:lang w:val="en-US" w:eastAsia="zh-CN"/>
        </w:rPr>
        <w:t>–</w:t>
      </w:r>
      <w:r>
        <w:rPr>
          <w:rFonts w:hint="eastAsia"/>
          <w:lang w:eastAsia="zh-CN"/>
        </w:rPr>
        <w:t xml:space="preserve"> </w:t>
      </w:r>
      <w:r>
        <w:rPr>
          <w:rFonts w:hint="eastAsia"/>
          <w:lang w:eastAsia="zh-CN"/>
        </w:rPr>
        <w:t>正文结尾应为结论。在可能的情况下，结论应为一项具体的建议，说明对文稿的处理打算。将建议和结论区分开来有益于对两者的应用采用标准方法。当有关部分提出希望接受的建议（如供稿人希望实施的解决方案、计划和变动）及要求进行决策或采取行动时，应使用标头建议。当有关部分仅为通报情况，如概括观点，而不要求对行动做出决策时，则应使用标头结论。如文稿中二者兼有，则应将建议置于结论之后。</w:t>
      </w:r>
    </w:p>
    <w:p w14:paraId="7277465F" w14:textId="03CDFA0A" w:rsidR="00C33299" w:rsidRDefault="00C33299" w:rsidP="00C33299">
      <w:pPr>
        <w:rPr>
          <w:ins w:id="5" w:author="TSB (RC)" w:date="2021-08-06T15:33:00Z"/>
          <w:lang w:eastAsia="zh-CN"/>
        </w:rPr>
      </w:pPr>
      <w:r w:rsidRPr="009532F9">
        <w:rPr>
          <w:b/>
          <w:bCs/>
          <w:lang w:eastAsia="zh-CN"/>
        </w:rPr>
        <w:t>I.1.5</w:t>
      </w:r>
      <w:r w:rsidRPr="009532F9">
        <w:rPr>
          <w:lang w:eastAsia="zh-CN"/>
        </w:rPr>
        <w:tab/>
      </w:r>
      <w:ins w:id="6" w:author="Lei, Yonghong" w:date="2021-08-30T15:40:00Z">
        <w:r w:rsidR="002138C1" w:rsidRPr="00A95A8C">
          <w:rPr>
            <w:rFonts w:ascii="Calibri" w:eastAsia="STKaiti" w:hAnsi="Calibri" w:hint="eastAsia"/>
            <w:iCs/>
            <w:lang w:eastAsia="zh-CN"/>
          </w:rPr>
          <w:t>差距分析</w:t>
        </w:r>
      </w:ins>
      <w:ins w:id="7" w:author="LI, Ziqian" w:date="2021-08-30T16:51:00Z">
        <w:r w:rsidR="00A95A8C">
          <w:rPr>
            <w:rFonts w:hint="eastAsia"/>
            <w:lang w:eastAsia="zh-CN"/>
          </w:rPr>
          <w:t xml:space="preserve"> </w:t>
        </w:r>
        <w:r w:rsidR="00A95A8C">
          <w:rPr>
            <w:lang w:eastAsia="zh-CN"/>
          </w:rPr>
          <w:t xml:space="preserve">– </w:t>
        </w:r>
      </w:ins>
      <w:ins w:id="8" w:author="Lei, Yonghong" w:date="2021-08-30T15:40:00Z">
        <w:r w:rsidR="002138C1">
          <w:rPr>
            <w:rFonts w:hint="eastAsia"/>
            <w:lang w:eastAsia="zh-CN"/>
          </w:rPr>
          <w:t>案文</w:t>
        </w:r>
        <w:r w:rsidR="002138C1" w:rsidRPr="002138C1">
          <w:rPr>
            <w:rFonts w:hint="eastAsia"/>
            <w:lang w:eastAsia="zh-CN"/>
          </w:rPr>
          <w:t>应详细说明国际电联其他研究组和全球其他相关标准制定组织</w:t>
        </w:r>
        <w:r w:rsidR="002138C1">
          <w:rPr>
            <w:rFonts w:hint="eastAsia"/>
            <w:lang w:eastAsia="zh-CN"/>
          </w:rPr>
          <w:t>（</w:t>
        </w:r>
        <w:r w:rsidR="002138C1" w:rsidRPr="002138C1">
          <w:rPr>
            <w:rFonts w:hint="eastAsia"/>
            <w:lang w:eastAsia="zh-CN"/>
          </w:rPr>
          <w:t>SDO</w:t>
        </w:r>
        <w:r w:rsidR="002138C1">
          <w:rPr>
            <w:rFonts w:hint="eastAsia"/>
            <w:lang w:eastAsia="zh-CN"/>
          </w:rPr>
          <w:t>）已</w:t>
        </w:r>
        <w:r w:rsidR="002138C1" w:rsidRPr="002138C1">
          <w:rPr>
            <w:rFonts w:hint="eastAsia"/>
            <w:lang w:eastAsia="zh-CN"/>
          </w:rPr>
          <w:t>开展</w:t>
        </w:r>
        <w:r w:rsidR="002138C1">
          <w:rPr>
            <w:rFonts w:hint="eastAsia"/>
            <w:lang w:eastAsia="zh-CN"/>
          </w:rPr>
          <w:t>的</w:t>
        </w:r>
        <w:r w:rsidR="002138C1" w:rsidRPr="002138C1">
          <w:rPr>
            <w:rFonts w:hint="eastAsia"/>
            <w:lang w:eastAsia="zh-CN"/>
          </w:rPr>
          <w:t>类似工作项目，以确定</w:t>
        </w:r>
        <w:r w:rsidR="002138C1">
          <w:rPr>
            <w:rFonts w:hint="eastAsia"/>
            <w:lang w:eastAsia="zh-CN"/>
          </w:rPr>
          <w:t>关于</w:t>
        </w:r>
        <w:r w:rsidR="002138C1" w:rsidRPr="002138C1">
          <w:rPr>
            <w:rFonts w:hint="eastAsia"/>
            <w:lang w:eastAsia="zh-CN"/>
          </w:rPr>
          <w:t>新工作项目</w:t>
        </w:r>
        <w:r w:rsidR="002138C1">
          <w:rPr>
            <w:rFonts w:hint="eastAsia"/>
            <w:lang w:eastAsia="zh-CN"/>
          </w:rPr>
          <w:t>的</w:t>
        </w:r>
        <w:r w:rsidR="002138C1" w:rsidRPr="002138C1">
          <w:rPr>
            <w:rFonts w:hint="eastAsia"/>
            <w:lang w:eastAsia="zh-CN"/>
          </w:rPr>
          <w:t>提案是否将涵盖新的</w:t>
        </w:r>
        <w:r w:rsidR="002138C1">
          <w:rPr>
            <w:rFonts w:hint="eastAsia"/>
            <w:lang w:eastAsia="zh-CN"/>
          </w:rPr>
          <w:t>和</w:t>
        </w:r>
        <w:r w:rsidR="002138C1" w:rsidRPr="002138C1">
          <w:rPr>
            <w:rFonts w:hint="eastAsia"/>
            <w:lang w:eastAsia="zh-CN"/>
          </w:rPr>
          <w:t>独特的标准化要求</w:t>
        </w:r>
        <w:r w:rsidR="002138C1">
          <w:rPr>
            <w:rFonts w:hint="eastAsia"/>
            <w:lang w:eastAsia="zh-CN"/>
          </w:rPr>
          <w:t>。</w:t>
        </w:r>
      </w:ins>
    </w:p>
    <w:p w14:paraId="64D3A265" w14:textId="03766A1C" w:rsidR="009F6CC0" w:rsidRDefault="00C33299" w:rsidP="009C7FE7">
      <w:pPr>
        <w:rPr>
          <w:lang w:eastAsia="zh-CN"/>
        </w:rPr>
      </w:pPr>
      <w:ins w:id="9" w:author="LI, Ziqian" w:date="2021-08-09T14:23:00Z">
        <w:r w:rsidRPr="00C33299">
          <w:rPr>
            <w:b/>
            <w:bCs/>
            <w:lang w:eastAsia="zh-CN"/>
          </w:rPr>
          <w:t>I.1.6</w:t>
        </w:r>
      </w:ins>
      <w:ins w:id="10" w:author="LI, Ziqian" w:date="2021-08-30T16:51:00Z">
        <w:r w:rsidR="00D5588F" w:rsidRPr="00520254">
          <w:rPr>
            <w:bCs/>
            <w:lang w:eastAsia="zh-CN"/>
          </w:rPr>
          <w:tab/>
        </w:r>
      </w:ins>
      <w:r w:rsidR="00BB3A95" w:rsidRPr="0087179A">
        <w:rPr>
          <w:rFonts w:ascii="STKaiti" w:eastAsia="STKaiti" w:hAnsi="STKaiti" w:hint="eastAsia"/>
          <w:lang w:eastAsia="zh-CN"/>
        </w:rPr>
        <w:t>增补部分</w:t>
      </w:r>
      <w:r w:rsidR="00BB3A95">
        <w:rPr>
          <w:rFonts w:hint="eastAsia"/>
          <w:lang w:eastAsia="zh-CN"/>
        </w:rPr>
        <w:t xml:space="preserve"> </w:t>
      </w:r>
      <w:r w:rsidR="00BB3A95">
        <w:rPr>
          <w:lang w:val="en-US" w:eastAsia="zh-CN"/>
        </w:rPr>
        <w:t>–</w:t>
      </w:r>
      <w:r w:rsidR="00BB3A95">
        <w:rPr>
          <w:rFonts w:hint="eastAsia"/>
          <w:lang w:eastAsia="zh-CN"/>
        </w:rPr>
        <w:t xml:space="preserve"> </w:t>
      </w:r>
      <w:r w:rsidR="00BB3A95">
        <w:rPr>
          <w:rFonts w:hint="eastAsia"/>
          <w:lang w:eastAsia="zh-CN"/>
        </w:rPr>
        <w:t>正文中可能会影响文本思路的支持性质或更详细的资料应放在包括附件、附录、参考文献及后附资料的部分。可用实线将这些部分与正文分开。“指南”说明了附件与附录在使用上的不同</w:t>
      </w:r>
      <w:r w:rsidR="00B54CC2">
        <w:rPr>
          <w:rFonts w:hint="eastAsia"/>
          <w:lang w:eastAsia="zh-CN"/>
        </w:rPr>
        <w:t>。</w:t>
      </w:r>
    </w:p>
    <w:p w14:paraId="2609EE82" w14:textId="77777777" w:rsidR="009F6CC0" w:rsidRDefault="00BB3A95" w:rsidP="009C7FE7">
      <w:pPr>
        <w:pStyle w:val="Heading2"/>
        <w:rPr>
          <w:lang w:eastAsia="zh-CN"/>
        </w:rPr>
      </w:pPr>
      <w:r>
        <w:rPr>
          <w:rFonts w:hint="eastAsia"/>
          <w:lang w:eastAsia="zh-CN"/>
        </w:rPr>
        <w:lastRenderedPageBreak/>
        <w:t>I.2</w:t>
      </w:r>
      <w:r>
        <w:rPr>
          <w:rFonts w:hint="eastAsia"/>
          <w:lang w:eastAsia="zh-CN"/>
        </w:rPr>
        <w:tab/>
      </w:r>
      <w:r>
        <w:rPr>
          <w:rFonts w:hint="eastAsia"/>
          <w:lang w:eastAsia="zh-CN"/>
        </w:rPr>
        <w:t>编写的技术细节和表述</w:t>
      </w:r>
    </w:p>
    <w:p w14:paraId="660FC7B1" w14:textId="77777777" w:rsidR="009F6CC0" w:rsidRDefault="00BB3A95" w:rsidP="009C7FE7">
      <w:pPr>
        <w:rPr>
          <w:lang w:eastAsia="zh-CN"/>
        </w:rPr>
      </w:pPr>
      <w:r w:rsidRPr="0087179A">
        <w:rPr>
          <w:rFonts w:hint="eastAsia"/>
          <w:b/>
          <w:bCs/>
          <w:lang w:eastAsia="zh-CN"/>
        </w:rPr>
        <w:t>I.2.1</w:t>
      </w:r>
      <w:r>
        <w:rPr>
          <w:rFonts w:hint="eastAsia"/>
          <w:lang w:eastAsia="zh-CN"/>
        </w:rPr>
        <w:tab/>
      </w:r>
      <w:r w:rsidRPr="0087179A">
        <w:rPr>
          <w:rFonts w:ascii="STKaiti" w:eastAsia="STKaiti" w:hAnsi="STKaiti" w:hint="eastAsia"/>
          <w:lang w:eastAsia="zh-CN"/>
        </w:rPr>
        <w:t>各条款编号</w:t>
      </w:r>
      <w:r>
        <w:rPr>
          <w:rFonts w:hint="eastAsia"/>
          <w:lang w:eastAsia="zh-CN"/>
        </w:rPr>
        <w:t xml:space="preserve"> </w:t>
      </w:r>
      <w:r>
        <w:rPr>
          <w:lang w:val="en-US" w:eastAsia="zh-CN"/>
        </w:rPr>
        <w:t>–</w:t>
      </w:r>
      <w:r>
        <w:rPr>
          <w:rFonts w:hint="eastAsia"/>
          <w:lang w:eastAsia="zh-CN"/>
        </w:rPr>
        <w:t xml:space="preserve"> </w:t>
      </w:r>
      <w:r>
        <w:rPr>
          <w:rFonts w:hint="eastAsia"/>
          <w:lang w:eastAsia="zh-CN"/>
        </w:rPr>
        <w:t>文稿的结构应合乎逻辑。有时为了行文流畅清晰的需要，结构上可以用分开的节和小节有层次地表述不同层次的细节信息。正文中不同的节与小节应标有十进制编号，并尽可能采用</w:t>
      </w:r>
      <w:r>
        <w:rPr>
          <w:rFonts w:hint="eastAsia"/>
          <w:lang w:eastAsia="zh-CN"/>
        </w:rPr>
        <w:t>ITU-T</w:t>
      </w:r>
      <w:r>
        <w:rPr>
          <w:rFonts w:hint="eastAsia"/>
          <w:lang w:eastAsia="zh-CN"/>
        </w:rPr>
        <w:t>文本的建议分层编号系统（见“指南”），例如，</w:t>
      </w:r>
      <w:r>
        <w:rPr>
          <w:rFonts w:hint="eastAsia"/>
          <w:lang w:eastAsia="zh-CN"/>
        </w:rPr>
        <w:t>1.1</w:t>
      </w:r>
      <w:r>
        <w:rPr>
          <w:rFonts w:hint="eastAsia"/>
          <w:lang w:eastAsia="zh-CN"/>
        </w:rPr>
        <w:t>，</w:t>
      </w:r>
      <w:r>
        <w:rPr>
          <w:rFonts w:hint="eastAsia"/>
          <w:lang w:eastAsia="zh-CN"/>
        </w:rPr>
        <w:t>1.2.3</w:t>
      </w:r>
      <w:r>
        <w:rPr>
          <w:rFonts w:hint="eastAsia"/>
          <w:lang w:eastAsia="zh-CN"/>
        </w:rPr>
        <w:t>。增补部分的编号示例为附件</w:t>
      </w:r>
      <w:r>
        <w:rPr>
          <w:rFonts w:hint="eastAsia"/>
          <w:lang w:eastAsia="zh-CN"/>
        </w:rPr>
        <w:t>A</w:t>
      </w:r>
      <w:r>
        <w:rPr>
          <w:rFonts w:hint="eastAsia"/>
          <w:lang w:eastAsia="zh-CN"/>
        </w:rPr>
        <w:t>的</w:t>
      </w:r>
      <w:r>
        <w:rPr>
          <w:rFonts w:hint="eastAsia"/>
          <w:lang w:eastAsia="zh-CN"/>
        </w:rPr>
        <w:t>A.1.1</w:t>
      </w:r>
      <w:r>
        <w:rPr>
          <w:rFonts w:hint="eastAsia"/>
          <w:lang w:eastAsia="zh-CN"/>
        </w:rPr>
        <w:t>、附录</w:t>
      </w:r>
      <w:r w:rsidRPr="00FE65F2">
        <w:rPr>
          <w:lang w:eastAsia="zh-CN"/>
        </w:rPr>
        <w:t>VI</w:t>
      </w:r>
      <w:r>
        <w:rPr>
          <w:rFonts w:hint="eastAsia"/>
          <w:lang w:eastAsia="zh-CN"/>
        </w:rPr>
        <w:t>的</w:t>
      </w:r>
      <w:r>
        <w:rPr>
          <w:rFonts w:hint="eastAsia"/>
          <w:lang w:eastAsia="zh-CN"/>
        </w:rPr>
        <w:t>VI.3.4</w:t>
      </w:r>
      <w:r>
        <w:rPr>
          <w:rFonts w:hint="eastAsia"/>
          <w:lang w:eastAsia="zh-CN"/>
        </w:rPr>
        <w:t>。</w:t>
      </w:r>
    </w:p>
    <w:p w14:paraId="066CC2AC" w14:textId="77777777" w:rsidR="009F6CC0" w:rsidRDefault="00BB3A95" w:rsidP="009C7FE7">
      <w:pPr>
        <w:rPr>
          <w:lang w:eastAsia="zh-CN"/>
        </w:rPr>
      </w:pPr>
      <w:r w:rsidRPr="0087179A">
        <w:rPr>
          <w:rFonts w:hint="eastAsia"/>
          <w:b/>
          <w:bCs/>
          <w:lang w:eastAsia="zh-CN"/>
        </w:rPr>
        <w:t>I.2.2</w:t>
      </w:r>
      <w:r>
        <w:rPr>
          <w:rFonts w:hint="eastAsia"/>
          <w:lang w:eastAsia="zh-CN"/>
        </w:rPr>
        <w:tab/>
      </w:r>
      <w:r w:rsidRPr="0087179A">
        <w:rPr>
          <w:rFonts w:ascii="STKaiti" w:eastAsia="STKaiti" w:hAnsi="STKaiti" w:hint="eastAsia"/>
          <w:lang w:eastAsia="zh-CN"/>
        </w:rPr>
        <w:t>页码</w:t>
      </w:r>
      <w:r>
        <w:rPr>
          <w:rFonts w:hint="eastAsia"/>
          <w:lang w:eastAsia="zh-CN"/>
        </w:rPr>
        <w:t xml:space="preserve"> </w:t>
      </w:r>
      <w:r>
        <w:rPr>
          <w:lang w:val="en-US" w:eastAsia="zh-CN"/>
        </w:rPr>
        <w:t>–</w:t>
      </w:r>
      <w:r>
        <w:rPr>
          <w:rFonts w:hint="eastAsia"/>
          <w:lang w:eastAsia="zh-CN"/>
        </w:rPr>
        <w:t xml:space="preserve"> </w:t>
      </w:r>
      <w:r>
        <w:rPr>
          <w:rFonts w:hint="eastAsia"/>
          <w:lang w:eastAsia="zh-CN"/>
        </w:rPr>
        <w:t>标题页不打页码，以后各页（包括表格、附件、附录或后附资料）的页码从“第</w:t>
      </w:r>
      <w:r>
        <w:rPr>
          <w:rFonts w:hint="eastAsia"/>
          <w:lang w:eastAsia="zh-CN"/>
        </w:rPr>
        <w:t>2</w:t>
      </w:r>
      <w:r>
        <w:rPr>
          <w:rFonts w:hint="eastAsia"/>
          <w:lang w:eastAsia="zh-CN"/>
        </w:rPr>
        <w:t>页”开始按顺序编排，页码通常应置于页头中部。每页页码下应有文件号（如有的话），同时列出总页数和当前页码是非常有益的，如：“第</w:t>
      </w:r>
      <w:r>
        <w:rPr>
          <w:rFonts w:hint="eastAsia"/>
          <w:lang w:eastAsia="zh-CN"/>
        </w:rPr>
        <w:t>2</w:t>
      </w:r>
      <w:r>
        <w:rPr>
          <w:rFonts w:hint="eastAsia"/>
          <w:lang w:eastAsia="zh-CN"/>
        </w:rPr>
        <w:t>页，共</w:t>
      </w:r>
      <w:r>
        <w:rPr>
          <w:rFonts w:hint="eastAsia"/>
          <w:lang w:eastAsia="zh-CN"/>
        </w:rPr>
        <w:t>10</w:t>
      </w:r>
      <w:r>
        <w:rPr>
          <w:rFonts w:hint="eastAsia"/>
          <w:lang w:eastAsia="zh-CN"/>
        </w:rPr>
        <w:t>页”。</w:t>
      </w:r>
    </w:p>
    <w:p w14:paraId="1574ED25" w14:textId="77777777" w:rsidR="009F6CC0" w:rsidRDefault="00BB3A95" w:rsidP="009C7FE7">
      <w:pPr>
        <w:rPr>
          <w:lang w:eastAsia="zh-CN"/>
        </w:rPr>
      </w:pPr>
      <w:r w:rsidRPr="0087179A">
        <w:rPr>
          <w:rFonts w:hint="eastAsia"/>
          <w:b/>
          <w:bCs/>
          <w:lang w:eastAsia="zh-CN"/>
        </w:rPr>
        <w:t>I.2.3</w:t>
      </w:r>
      <w:r>
        <w:rPr>
          <w:rFonts w:hint="eastAsia"/>
          <w:lang w:eastAsia="zh-CN"/>
        </w:rPr>
        <w:tab/>
      </w:r>
      <w:r w:rsidRPr="0087179A">
        <w:rPr>
          <w:rFonts w:ascii="STKaiti" w:eastAsia="STKaiti" w:hAnsi="STKaiti" w:hint="eastAsia"/>
          <w:lang w:eastAsia="zh-CN"/>
        </w:rPr>
        <w:t>插图</w:t>
      </w:r>
      <w:r>
        <w:rPr>
          <w:rFonts w:hint="eastAsia"/>
          <w:lang w:eastAsia="zh-CN"/>
        </w:rPr>
        <w:t xml:space="preserve"> </w:t>
      </w:r>
      <w:r>
        <w:rPr>
          <w:lang w:val="en-US" w:eastAsia="zh-CN"/>
        </w:rPr>
        <w:t>–</w:t>
      </w:r>
      <w:r>
        <w:rPr>
          <w:rFonts w:hint="eastAsia"/>
          <w:lang w:eastAsia="zh-CN"/>
        </w:rPr>
        <w:t xml:space="preserve"> </w:t>
      </w:r>
      <w:r>
        <w:rPr>
          <w:rFonts w:hint="eastAsia"/>
          <w:lang w:eastAsia="zh-CN"/>
        </w:rPr>
        <w:t>插图必须清晰可辨并能用</w:t>
      </w:r>
      <w:r>
        <w:rPr>
          <w:rFonts w:hint="eastAsia"/>
          <w:lang w:eastAsia="zh-CN"/>
        </w:rPr>
        <w:t>A4</w:t>
      </w:r>
      <w:r>
        <w:rPr>
          <w:rFonts w:hint="eastAsia"/>
          <w:lang w:eastAsia="zh-CN"/>
        </w:rPr>
        <w:t>格式打印。</w:t>
      </w:r>
    </w:p>
    <w:p w14:paraId="41BA61CF" w14:textId="77777777" w:rsidR="009F6CC0" w:rsidRDefault="00BB3A95" w:rsidP="009C7FE7">
      <w:pPr>
        <w:rPr>
          <w:lang w:eastAsia="zh-CN"/>
        </w:rPr>
      </w:pPr>
      <w:r w:rsidRPr="0087179A">
        <w:rPr>
          <w:rFonts w:hint="eastAsia"/>
          <w:b/>
          <w:bCs/>
          <w:lang w:eastAsia="zh-CN"/>
        </w:rPr>
        <w:t>I.2.4</w:t>
      </w:r>
      <w:r>
        <w:rPr>
          <w:rFonts w:hint="eastAsia"/>
          <w:lang w:eastAsia="zh-CN"/>
        </w:rPr>
        <w:tab/>
      </w:r>
      <w:r w:rsidRPr="0087179A">
        <w:rPr>
          <w:rFonts w:ascii="STKaiti" w:eastAsia="STKaiti" w:hAnsi="STKaiti" w:hint="eastAsia"/>
          <w:lang w:eastAsia="zh-CN"/>
        </w:rPr>
        <w:t>公式</w:t>
      </w:r>
      <w:r>
        <w:rPr>
          <w:rFonts w:hint="eastAsia"/>
          <w:lang w:eastAsia="zh-CN"/>
        </w:rPr>
        <w:t xml:space="preserve"> </w:t>
      </w:r>
      <w:r>
        <w:rPr>
          <w:lang w:val="en-US" w:eastAsia="zh-CN"/>
        </w:rPr>
        <w:t>–</w:t>
      </w:r>
      <w:r>
        <w:rPr>
          <w:rFonts w:hint="eastAsia"/>
          <w:lang w:eastAsia="zh-CN"/>
        </w:rPr>
        <w:t xml:space="preserve"> </w:t>
      </w:r>
      <w:r>
        <w:rPr>
          <w:rFonts w:hint="eastAsia"/>
          <w:lang w:eastAsia="zh-CN"/>
        </w:rPr>
        <w:t>数学公式仅应在说明文字时得到使用。应避免陈述公式的详细推导过程。</w:t>
      </w:r>
    </w:p>
    <w:p w14:paraId="264712F9" w14:textId="77777777" w:rsidR="009F6CC0" w:rsidRDefault="00BB3A95" w:rsidP="009C7FE7">
      <w:pPr>
        <w:rPr>
          <w:lang w:eastAsia="zh-CN"/>
        </w:rPr>
      </w:pPr>
      <w:r w:rsidRPr="0087179A">
        <w:rPr>
          <w:rFonts w:hint="eastAsia"/>
          <w:b/>
          <w:bCs/>
          <w:lang w:eastAsia="zh-CN"/>
        </w:rPr>
        <w:t>I.2.5</w:t>
      </w:r>
      <w:r>
        <w:rPr>
          <w:rFonts w:hint="eastAsia"/>
          <w:lang w:eastAsia="zh-CN"/>
        </w:rPr>
        <w:tab/>
      </w:r>
      <w:r w:rsidRPr="0087179A">
        <w:rPr>
          <w:rFonts w:ascii="STKaiti" w:eastAsia="STKaiti" w:hAnsi="STKaiti" w:hint="eastAsia"/>
          <w:lang w:eastAsia="zh-CN"/>
        </w:rPr>
        <w:t>引文</w:t>
      </w:r>
      <w:r>
        <w:rPr>
          <w:rFonts w:hint="eastAsia"/>
          <w:lang w:eastAsia="zh-CN"/>
        </w:rPr>
        <w:t xml:space="preserve"> </w:t>
      </w:r>
      <w:r>
        <w:rPr>
          <w:lang w:val="en-US" w:eastAsia="zh-CN"/>
        </w:rPr>
        <w:t>–</w:t>
      </w:r>
      <w:r>
        <w:rPr>
          <w:rFonts w:hint="eastAsia"/>
          <w:lang w:eastAsia="zh-CN"/>
        </w:rPr>
        <w:t xml:space="preserve"> </w:t>
      </w:r>
      <w:r>
        <w:rPr>
          <w:rFonts w:hint="eastAsia"/>
          <w:lang w:eastAsia="zh-CN"/>
        </w:rPr>
        <w:t>不应使用大段引文，只需简单地指出文件号码或现有文本中的段落号码或关键词语即可。不应复述或长篇引述能从</w:t>
      </w:r>
      <w:r>
        <w:rPr>
          <w:rFonts w:hint="eastAsia"/>
          <w:lang w:eastAsia="zh-CN"/>
        </w:rPr>
        <w:t>ITU-T</w:t>
      </w:r>
      <w:r>
        <w:rPr>
          <w:rFonts w:hint="eastAsia"/>
          <w:lang w:eastAsia="zh-CN"/>
        </w:rPr>
        <w:t>其他地方查到的材料。当众所周知</w:t>
      </w:r>
      <w:r>
        <w:rPr>
          <w:rFonts w:hint="eastAsia"/>
          <w:lang w:eastAsia="zh-CN"/>
        </w:rPr>
        <w:t>ITU-T</w:t>
      </w:r>
      <w:r>
        <w:rPr>
          <w:rFonts w:hint="eastAsia"/>
          <w:lang w:eastAsia="zh-CN"/>
        </w:rPr>
        <w:t>研究组成员不方便得到某些材料时，可在文稿中收入节录或简明摘要。</w:t>
      </w:r>
    </w:p>
    <w:p w14:paraId="0FAFACF5" w14:textId="77777777" w:rsidR="009F6CC0" w:rsidRDefault="00BB3A95" w:rsidP="009C7FE7">
      <w:pPr>
        <w:rPr>
          <w:lang w:eastAsia="zh-CN"/>
        </w:rPr>
      </w:pPr>
      <w:r w:rsidRPr="0087179A">
        <w:rPr>
          <w:rFonts w:hint="eastAsia"/>
          <w:b/>
          <w:bCs/>
          <w:lang w:eastAsia="zh-CN"/>
        </w:rPr>
        <w:t>I.2.6</w:t>
      </w:r>
      <w:r>
        <w:rPr>
          <w:rFonts w:hint="eastAsia"/>
          <w:lang w:eastAsia="zh-CN"/>
        </w:rPr>
        <w:tab/>
      </w:r>
      <w:r w:rsidRPr="0087179A">
        <w:rPr>
          <w:rFonts w:ascii="STKaiti" w:eastAsia="STKaiti" w:hAnsi="STKaiti" w:hint="eastAsia"/>
          <w:lang w:eastAsia="zh-CN"/>
        </w:rPr>
        <w:t>参考文献</w:t>
      </w:r>
      <w:r>
        <w:rPr>
          <w:rFonts w:hint="eastAsia"/>
          <w:lang w:eastAsia="zh-CN"/>
        </w:rPr>
        <w:t xml:space="preserve"> </w:t>
      </w:r>
      <w:r>
        <w:rPr>
          <w:lang w:val="en-US" w:eastAsia="zh-CN"/>
        </w:rPr>
        <w:t>–</w:t>
      </w:r>
      <w:r>
        <w:rPr>
          <w:rFonts w:hint="eastAsia"/>
          <w:lang w:eastAsia="zh-CN"/>
        </w:rPr>
        <w:t xml:space="preserve"> </w:t>
      </w:r>
      <w:r>
        <w:rPr>
          <w:rFonts w:hint="eastAsia"/>
          <w:lang w:eastAsia="zh-CN"/>
        </w:rPr>
        <w:t>在参考</w:t>
      </w:r>
      <w:r>
        <w:rPr>
          <w:rFonts w:hint="eastAsia"/>
          <w:lang w:eastAsia="zh-CN"/>
        </w:rPr>
        <w:t>ITU-T</w:t>
      </w:r>
      <w:r>
        <w:rPr>
          <w:rFonts w:hint="eastAsia"/>
          <w:lang w:eastAsia="zh-CN"/>
        </w:rPr>
        <w:t>其他文稿或建议书时应使用正式的文件编号，如</w:t>
      </w:r>
      <w:r>
        <w:rPr>
          <w:rFonts w:hint="eastAsia"/>
          <w:lang w:eastAsia="zh-CN"/>
        </w:rPr>
        <w:t>COM</w:t>
      </w:r>
      <w:r>
        <w:rPr>
          <w:lang w:val="en-US" w:eastAsia="zh-CN"/>
        </w:rPr>
        <w:t> </w:t>
      </w:r>
      <w:r>
        <w:rPr>
          <w:rFonts w:hint="eastAsia"/>
          <w:lang w:eastAsia="zh-CN"/>
        </w:rPr>
        <w:t>14-10</w:t>
      </w:r>
      <w:r>
        <w:rPr>
          <w:rFonts w:hint="eastAsia"/>
          <w:lang w:eastAsia="zh-CN"/>
        </w:rPr>
        <w:t>。如被参引的文稿属于以前的研究期，则应予以说明。</w:t>
      </w:r>
    </w:p>
    <w:p w14:paraId="618AE5F4" w14:textId="77777777" w:rsidR="009F6CC0" w:rsidRDefault="00BB3A95" w:rsidP="009C7FE7">
      <w:pPr>
        <w:ind w:firstLineChars="200" w:firstLine="480"/>
        <w:rPr>
          <w:lang w:eastAsia="zh-CN"/>
        </w:rPr>
      </w:pPr>
      <w:r>
        <w:rPr>
          <w:rFonts w:hint="eastAsia"/>
          <w:lang w:eastAsia="zh-CN"/>
        </w:rPr>
        <w:t>对非国际电联或</w:t>
      </w:r>
      <w:r>
        <w:rPr>
          <w:rFonts w:hint="eastAsia"/>
          <w:lang w:eastAsia="zh-CN"/>
        </w:rPr>
        <w:t>ISO/IEC</w:t>
      </w:r>
      <w:r>
        <w:rPr>
          <w:rFonts w:hint="eastAsia"/>
          <w:lang w:eastAsia="zh-CN"/>
        </w:rPr>
        <w:t>出版物或标准的参引应符合</w:t>
      </w:r>
      <w:r>
        <w:rPr>
          <w:rFonts w:hint="eastAsia"/>
          <w:lang w:eastAsia="zh-CN"/>
        </w:rPr>
        <w:t>ITU-T A.5</w:t>
      </w:r>
      <w:r>
        <w:rPr>
          <w:rFonts w:hint="eastAsia"/>
          <w:lang w:eastAsia="zh-CN"/>
        </w:rPr>
        <w:t>建议书的要求。对</w:t>
      </w:r>
      <w:r>
        <w:rPr>
          <w:rFonts w:hint="eastAsia"/>
          <w:lang w:eastAsia="zh-CN"/>
        </w:rPr>
        <w:t>ITU-T A.5</w:t>
      </w:r>
      <w:r>
        <w:rPr>
          <w:rFonts w:hint="eastAsia"/>
          <w:lang w:eastAsia="zh-CN"/>
        </w:rPr>
        <w:t>建议书未包括的其他出版物的参引可列入参考资料目录。</w:t>
      </w:r>
    </w:p>
    <w:p w14:paraId="28A4AF43" w14:textId="77777777" w:rsidR="009F6CC0" w:rsidRDefault="00BB3A95" w:rsidP="009C7FE7">
      <w:pPr>
        <w:ind w:firstLineChars="200" w:firstLine="480"/>
        <w:rPr>
          <w:lang w:eastAsia="zh-CN"/>
        </w:rPr>
      </w:pPr>
      <w:r>
        <w:rPr>
          <w:rFonts w:hint="eastAsia"/>
          <w:lang w:eastAsia="zh-CN"/>
        </w:rPr>
        <w:t>（关于参考文献和参考资料目录的详情，见“指南”。）</w:t>
      </w:r>
    </w:p>
    <w:p w14:paraId="50E46D36" w14:textId="77777777" w:rsidR="009F6CC0" w:rsidRDefault="00BB3A95" w:rsidP="009C7FE7">
      <w:pPr>
        <w:rPr>
          <w:lang w:eastAsia="zh-CN"/>
        </w:rPr>
      </w:pPr>
      <w:r w:rsidRPr="0087179A">
        <w:rPr>
          <w:rFonts w:hint="eastAsia"/>
          <w:b/>
          <w:bCs/>
          <w:lang w:eastAsia="zh-CN"/>
        </w:rPr>
        <w:t>I.2.7</w:t>
      </w:r>
      <w:r>
        <w:rPr>
          <w:rFonts w:hint="eastAsia"/>
          <w:lang w:eastAsia="zh-CN"/>
        </w:rPr>
        <w:tab/>
      </w:r>
      <w:r w:rsidRPr="006250E2">
        <w:rPr>
          <w:rFonts w:ascii="STKaiti" w:eastAsia="STKaiti" w:hAnsi="STKaiti" w:hint="eastAsia"/>
          <w:lang w:eastAsia="zh-CN"/>
        </w:rPr>
        <w:t>现有文本的修订</w:t>
      </w:r>
      <w:r>
        <w:rPr>
          <w:rFonts w:hint="eastAsia"/>
          <w:lang w:eastAsia="zh-CN"/>
        </w:rPr>
        <w:t xml:space="preserve"> </w:t>
      </w:r>
      <w:r>
        <w:rPr>
          <w:lang w:val="en-US" w:eastAsia="zh-CN"/>
        </w:rPr>
        <w:t>–</w:t>
      </w:r>
      <w:r>
        <w:rPr>
          <w:rFonts w:hint="eastAsia"/>
          <w:lang w:eastAsia="zh-CN"/>
        </w:rPr>
        <w:t xml:space="preserve"> </w:t>
      </w:r>
      <w:r>
        <w:rPr>
          <w:rFonts w:hint="eastAsia"/>
          <w:lang w:eastAsia="zh-CN"/>
        </w:rPr>
        <w:t>如文稿提议对某现有文本（如建议书草案）进行修改，则待修改的部分应用修订符号明确标出，同时须清楚地标明对同一文本原版本建议的所有修改之处。</w:t>
      </w:r>
    </w:p>
    <w:p w14:paraId="663EA295" w14:textId="77777777" w:rsidR="009F6CC0" w:rsidRDefault="00BB3A95" w:rsidP="009C7FE7">
      <w:pPr>
        <w:ind w:firstLineChars="200" w:firstLine="480"/>
        <w:rPr>
          <w:lang w:eastAsia="zh-CN"/>
        </w:rPr>
      </w:pPr>
      <w:r>
        <w:rPr>
          <w:rFonts w:hint="eastAsia"/>
          <w:lang w:eastAsia="zh-CN"/>
        </w:rPr>
        <w:t>例如，可以用删节符、下划线和在页边的垂直修正线（</w:t>
      </w:r>
      <w:r w:rsidRPr="007E52B2">
        <w:rPr>
          <w:lang w:eastAsia="zh-CN"/>
        </w:rPr>
        <w:t>|</w:t>
      </w:r>
      <w:r>
        <w:rPr>
          <w:rFonts w:hint="eastAsia"/>
          <w:lang w:eastAsia="zh-CN"/>
        </w:rPr>
        <w:t>）表示此类修改。</w:t>
      </w:r>
    </w:p>
    <w:p w14:paraId="0BF01289" w14:textId="77777777" w:rsidR="003D5C6B" w:rsidRDefault="003D5C6B" w:rsidP="00411C49">
      <w:pPr>
        <w:pStyle w:val="Reasons"/>
        <w:rPr>
          <w:lang w:eastAsia="zh-CN"/>
        </w:rPr>
      </w:pPr>
    </w:p>
    <w:p w14:paraId="1403D489" w14:textId="77777777" w:rsidR="003D5C6B" w:rsidRDefault="003D5C6B">
      <w:pPr>
        <w:jc w:val="center"/>
      </w:pPr>
      <w:r>
        <w:t>______________</w:t>
      </w:r>
    </w:p>
    <w:sectPr w:rsidR="003D5C6B">
      <w:headerReference w:type="default" r:id="rId10"/>
      <w:footerReference w:type="default" r:id="rId11"/>
      <w:footerReference w:type="first" r:id="rId12"/>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F5021" w14:textId="77777777" w:rsidR="00DD2455" w:rsidRDefault="00DD2455">
      <w:r>
        <w:separator/>
      </w:r>
    </w:p>
  </w:endnote>
  <w:endnote w:type="continuationSeparator" w:id="0">
    <w:p w14:paraId="3295CD85"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905F" w14:textId="0C523069" w:rsidR="00B851D4" w:rsidRPr="00623B08" w:rsidRDefault="00623B08" w:rsidP="00623B08">
    <w:pPr>
      <w:pStyle w:val="Footer"/>
      <w:rPr>
        <w:lang w:val="fr-CH"/>
      </w:rPr>
    </w:pPr>
    <w:r>
      <w:fldChar w:fldCharType="begin"/>
    </w:r>
    <w:r w:rsidRPr="00574CC8">
      <w:rPr>
        <w:lang w:val="fr-CH"/>
      </w:rPr>
      <w:instrText xml:space="preserve"> FILENAME \p  \* MERGEFORMAT </w:instrText>
    </w:r>
    <w:r>
      <w:fldChar w:fldCharType="separate"/>
    </w:r>
    <w:r w:rsidR="008025BF">
      <w:rPr>
        <w:lang w:val="fr-CH"/>
      </w:rPr>
      <w:t>P:\CHI\ITU-T\CONF-T\WTSA20\000\038ADD15C.docx</w:t>
    </w:r>
    <w:r>
      <w:fldChar w:fldCharType="end"/>
    </w:r>
    <w:r w:rsidRPr="00574CC8">
      <w:rPr>
        <w:lang w:val="fr-CH"/>
      </w:rPr>
      <w:t xml:space="preserve"> (</w:t>
    </w:r>
    <w:r>
      <w:rPr>
        <w:lang w:val="fr-CH"/>
      </w:rPr>
      <w:t>493129</w:t>
    </w:r>
    <w:r w:rsidRPr="00574CC8">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8219" w14:textId="77030BCD" w:rsidR="00574CC8" w:rsidRPr="00574CC8" w:rsidRDefault="00574CC8" w:rsidP="00574CC8">
    <w:pPr>
      <w:pStyle w:val="Footer"/>
      <w:rPr>
        <w:lang w:val="fr-CH"/>
      </w:rPr>
    </w:pPr>
    <w:r>
      <w:fldChar w:fldCharType="begin"/>
    </w:r>
    <w:r w:rsidRPr="00574CC8">
      <w:rPr>
        <w:lang w:val="fr-CH"/>
      </w:rPr>
      <w:instrText xml:space="preserve"> FILENAME \p  \* MERGEFORMAT </w:instrText>
    </w:r>
    <w:r>
      <w:fldChar w:fldCharType="separate"/>
    </w:r>
    <w:r w:rsidR="008025BF">
      <w:rPr>
        <w:lang w:val="fr-CH"/>
      </w:rPr>
      <w:t>P:\CHI\ITU-T\CONF-T\WTSA20\000\038ADD15C.docx</w:t>
    </w:r>
    <w:r>
      <w:fldChar w:fldCharType="end"/>
    </w:r>
    <w:r w:rsidRPr="00574CC8">
      <w:rPr>
        <w:lang w:val="fr-CH"/>
      </w:rPr>
      <w:t xml:space="preserve"> (</w:t>
    </w:r>
    <w:r>
      <w:rPr>
        <w:lang w:val="fr-CH"/>
      </w:rPr>
      <w:t>493129</w:t>
    </w:r>
    <w:r w:rsidRPr="00574CC8">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63745" w14:textId="77777777" w:rsidR="00DD2455" w:rsidRDefault="00DD2455">
      <w:r>
        <w:t>____________________</w:t>
      </w:r>
    </w:p>
  </w:footnote>
  <w:footnote w:type="continuationSeparator" w:id="0">
    <w:p w14:paraId="59498F22"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A84B" w14:textId="5B836874"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15E7">
      <w:rPr>
        <w:rStyle w:val="PageNumber"/>
        <w:noProof/>
      </w:rPr>
      <w:t>2</w:t>
    </w:r>
    <w:r>
      <w:rPr>
        <w:rStyle w:val="PageNumber"/>
      </w:rPr>
      <w:fldChar w:fldCharType="end"/>
    </w:r>
  </w:p>
  <w:p w14:paraId="4EB7F520" w14:textId="69BBF0A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A15E7">
      <w:rPr>
        <w:rFonts w:hint="eastAsia"/>
        <w:noProof/>
        <w:lang w:val="en-US"/>
      </w:rPr>
      <w:t>文件</w:t>
    </w:r>
    <w:r w:rsidR="00BA15E7">
      <w:rPr>
        <w:rFonts w:hint="eastAsia"/>
        <w:noProof/>
        <w:lang w:val="en-US"/>
      </w:rPr>
      <w:t xml:space="preserve"> 38(Add.15)-C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SB (RC)">
    <w15:presenceInfo w15:providerId="None" w15:userId="TSB (RC)"/>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06C7E"/>
    <w:rsid w:val="00123B64"/>
    <w:rsid w:val="00157B96"/>
    <w:rsid w:val="00166859"/>
    <w:rsid w:val="001765EC"/>
    <w:rsid w:val="001853E8"/>
    <w:rsid w:val="001904F7"/>
    <w:rsid w:val="001B6360"/>
    <w:rsid w:val="001F4EA6"/>
    <w:rsid w:val="002138C1"/>
    <w:rsid w:val="00214959"/>
    <w:rsid w:val="002236A0"/>
    <w:rsid w:val="00231452"/>
    <w:rsid w:val="00246C4C"/>
    <w:rsid w:val="0028063B"/>
    <w:rsid w:val="002A4C9C"/>
    <w:rsid w:val="002B509B"/>
    <w:rsid w:val="002D162B"/>
    <w:rsid w:val="002D625E"/>
    <w:rsid w:val="002E2A59"/>
    <w:rsid w:val="002F5D57"/>
    <w:rsid w:val="00305254"/>
    <w:rsid w:val="0030785C"/>
    <w:rsid w:val="003169D2"/>
    <w:rsid w:val="003468CA"/>
    <w:rsid w:val="00350764"/>
    <w:rsid w:val="003556C0"/>
    <w:rsid w:val="00372FC2"/>
    <w:rsid w:val="003A69EA"/>
    <w:rsid w:val="003B4BEF"/>
    <w:rsid w:val="003C6B45"/>
    <w:rsid w:val="003D5C6B"/>
    <w:rsid w:val="003F0C01"/>
    <w:rsid w:val="00400909"/>
    <w:rsid w:val="0041282E"/>
    <w:rsid w:val="0042522F"/>
    <w:rsid w:val="00437869"/>
    <w:rsid w:val="00465A34"/>
    <w:rsid w:val="004913CE"/>
    <w:rsid w:val="004A1B59"/>
    <w:rsid w:val="004B2DBE"/>
    <w:rsid w:val="004C4554"/>
    <w:rsid w:val="004D04A4"/>
    <w:rsid w:val="004D2DEC"/>
    <w:rsid w:val="004F2BE6"/>
    <w:rsid w:val="00502B2E"/>
    <w:rsid w:val="00520254"/>
    <w:rsid w:val="00524E4B"/>
    <w:rsid w:val="00527E8A"/>
    <w:rsid w:val="00534930"/>
    <w:rsid w:val="00536193"/>
    <w:rsid w:val="00542E85"/>
    <w:rsid w:val="005579BD"/>
    <w:rsid w:val="00562479"/>
    <w:rsid w:val="00574CC8"/>
    <w:rsid w:val="00576849"/>
    <w:rsid w:val="0059663C"/>
    <w:rsid w:val="005A0ACB"/>
    <w:rsid w:val="005C7B12"/>
    <w:rsid w:val="005E15B7"/>
    <w:rsid w:val="005E7FD8"/>
    <w:rsid w:val="006111B1"/>
    <w:rsid w:val="00611DCC"/>
    <w:rsid w:val="00622560"/>
    <w:rsid w:val="00623B08"/>
    <w:rsid w:val="0062492B"/>
    <w:rsid w:val="00637760"/>
    <w:rsid w:val="00644391"/>
    <w:rsid w:val="00647712"/>
    <w:rsid w:val="00662E12"/>
    <w:rsid w:val="00666E87"/>
    <w:rsid w:val="00691142"/>
    <w:rsid w:val="006B6525"/>
    <w:rsid w:val="006B67CE"/>
    <w:rsid w:val="006C38ED"/>
    <w:rsid w:val="006E6182"/>
    <w:rsid w:val="006E6DC7"/>
    <w:rsid w:val="006F3C60"/>
    <w:rsid w:val="006F409E"/>
    <w:rsid w:val="00707454"/>
    <w:rsid w:val="00736415"/>
    <w:rsid w:val="00770D2A"/>
    <w:rsid w:val="00775B71"/>
    <w:rsid w:val="007864F6"/>
    <w:rsid w:val="007A1828"/>
    <w:rsid w:val="007B7C4B"/>
    <w:rsid w:val="007F0FC5"/>
    <w:rsid w:val="007F1339"/>
    <w:rsid w:val="007F5C36"/>
    <w:rsid w:val="008025BF"/>
    <w:rsid w:val="008047DB"/>
    <w:rsid w:val="00804DB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815BE"/>
    <w:rsid w:val="00A95A8C"/>
    <w:rsid w:val="00AA5DA1"/>
    <w:rsid w:val="00AB7F81"/>
    <w:rsid w:val="00AE369F"/>
    <w:rsid w:val="00B026CB"/>
    <w:rsid w:val="00B10A51"/>
    <w:rsid w:val="00B12380"/>
    <w:rsid w:val="00B54CC2"/>
    <w:rsid w:val="00B637AD"/>
    <w:rsid w:val="00B851D4"/>
    <w:rsid w:val="00B868FC"/>
    <w:rsid w:val="00B95072"/>
    <w:rsid w:val="00BA15E7"/>
    <w:rsid w:val="00BB26CD"/>
    <w:rsid w:val="00BB3A95"/>
    <w:rsid w:val="00BC7211"/>
    <w:rsid w:val="00BD7C7C"/>
    <w:rsid w:val="00C045C0"/>
    <w:rsid w:val="00C07239"/>
    <w:rsid w:val="00C244A8"/>
    <w:rsid w:val="00C33299"/>
    <w:rsid w:val="00C364B1"/>
    <w:rsid w:val="00C443EB"/>
    <w:rsid w:val="00C47D87"/>
    <w:rsid w:val="00C627F9"/>
    <w:rsid w:val="00C644C6"/>
    <w:rsid w:val="00C6584D"/>
    <w:rsid w:val="00C65C81"/>
    <w:rsid w:val="00C67B8F"/>
    <w:rsid w:val="00C83BD5"/>
    <w:rsid w:val="00C929E0"/>
    <w:rsid w:val="00CB4E5A"/>
    <w:rsid w:val="00CC7110"/>
    <w:rsid w:val="00CC73D7"/>
    <w:rsid w:val="00CF0AD7"/>
    <w:rsid w:val="00CF0BE1"/>
    <w:rsid w:val="00CF25B1"/>
    <w:rsid w:val="00CF5665"/>
    <w:rsid w:val="00CF7C42"/>
    <w:rsid w:val="00D061C5"/>
    <w:rsid w:val="00D14AB0"/>
    <w:rsid w:val="00D30C81"/>
    <w:rsid w:val="00D35CBC"/>
    <w:rsid w:val="00D52A14"/>
    <w:rsid w:val="00D5588F"/>
    <w:rsid w:val="00D74599"/>
    <w:rsid w:val="00D90575"/>
    <w:rsid w:val="00DA0469"/>
    <w:rsid w:val="00DC4ABC"/>
    <w:rsid w:val="00DD13B7"/>
    <w:rsid w:val="00DD2455"/>
    <w:rsid w:val="00DF3B0C"/>
    <w:rsid w:val="00E148F2"/>
    <w:rsid w:val="00E14984"/>
    <w:rsid w:val="00E22A25"/>
    <w:rsid w:val="00E2414B"/>
    <w:rsid w:val="00E249E0"/>
    <w:rsid w:val="00E34731"/>
    <w:rsid w:val="00E4252D"/>
    <w:rsid w:val="00E560F1"/>
    <w:rsid w:val="00E56380"/>
    <w:rsid w:val="00E675FE"/>
    <w:rsid w:val="00E9167E"/>
    <w:rsid w:val="00E92319"/>
    <w:rsid w:val="00F33B36"/>
    <w:rsid w:val="00F469EB"/>
    <w:rsid w:val="00F532F9"/>
    <w:rsid w:val="00F65C1D"/>
    <w:rsid w:val="00F6691C"/>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9023E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AppendixNoTitle">
    <w:name w:val="Appendix_NoTitle"/>
    <w:basedOn w:val="AnnexNoTitle"/>
    <w:next w:val="Normalaftertitle0"/>
    <w:rsid w:val="005E71AD"/>
    <w:pPr>
      <w:outlineLvl w:val="0"/>
    </w:p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54bab9-e948-48a1-a4f3-e34dc3b07753" targetNamespace="http://schemas.microsoft.com/office/2006/metadata/properties" ma:root="true" ma:fieldsID="d41af5c836d734370eb92e7ee5f83852" ns2:_="" ns3:_="">
    <xsd:import namespace="996b2e75-67fd-4955-a3b0-5ab9934cb50b"/>
    <xsd:import namespace="c454bab9-e948-48a1-a4f3-e34dc3b077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54bab9-e948-48a1-a4f3-e34dc3b077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454bab9-e948-48a1-a4f3-e34dc3b07753">DPM</DPM_x0020_Author>
    <DPM_x0020_File_x0020_name xmlns="c454bab9-e948-48a1-a4f3-e34dc3b07753">T17-WTSA.20-C-0038!A15!MSW-C</DPM_x0020_File_x0020_name>
    <DPM_x0020_Version xmlns="c454bab9-e948-48a1-a4f3-e34dc3b0775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54bab9-e948-48a1-a4f3-e34dc3b07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microsoft.com/office/infopath/2007/PartnerControls"/>
    <ds:schemaRef ds:uri="c454bab9-e948-48a1-a4f3-e34dc3b07753"/>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3001</Words>
  <Characters>535</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T17-WTSA.20-C-0038!A15!MSW-C</vt:lpstr>
    </vt:vector>
  </TitlesOfParts>
  <Manager>General Secretariat - Pool</Manager>
  <Company>International Telecommunication Union (ITU)</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T17-WTSA.20-C-0038!A15!MSW-C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19</cp:revision>
  <cp:lastPrinted>2016-06-07T13:24:00Z</cp:lastPrinted>
  <dcterms:created xsi:type="dcterms:W3CDTF">2021-08-30T13:23:00Z</dcterms:created>
  <dcterms:modified xsi:type="dcterms:W3CDTF">2021-09-27T12:32:00Z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