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89" w:type="pct"/>
        <w:tblLook w:val="0000" w:firstRow="0" w:lastRow="0" w:firstColumn="0" w:lastColumn="0" w:noHBand="0" w:noVBand="0"/>
      </w:tblPr>
      <w:tblGrid>
        <w:gridCol w:w="6613"/>
        <w:gridCol w:w="3198"/>
      </w:tblGrid>
      <w:tr w:rsidR="009B0563" w:rsidRPr="00302FE1" w14:paraId="6CE8F8B4" w14:textId="77777777" w:rsidTr="009B0563">
        <w:trPr>
          <w:cantSplit/>
        </w:trPr>
        <w:tc>
          <w:tcPr>
            <w:tcW w:w="6613" w:type="dxa"/>
            <w:vAlign w:val="center"/>
          </w:tcPr>
          <w:p w14:paraId="225A2874" w14:textId="77777777" w:rsidR="009B0563" w:rsidRPr="00302FE1" w:rsidRDefault="009B0563" w:rsidP="004B520A">
            <w:pPr>
              <w:rPr>
                <w:rFonts w:ascii="Verdana" w:hAnsi="Verdana" w:cs="Times New Roman Bold"/>
                <w:b/>
                <w:bCs/>
                <w:sz w:val="22"/>
                <w:szCs w:val="22"/>
              </w:rPr>
            </w:pPr>
            <w:r w:rsidRPr="00302FE1">
              <w:rPr>
                <w:rFonts w:ascii="Verdana" w:hAnsi="Verdana" w:cs="Times New Roman Bold"/>
                <w:b/>
                <w:bCs/>
                <w:sz w:val="22"/>
                <w:szCs w:val="22"/>
              </w:rPr>
              <w:t>Asamblea Mundial de Normalización de las Telecomunicaciones (AMNT-20)</w:t>
            </w:r>
          </w:p>
          <w:p w14:paraId="77CEA568" w14:textId="77777777" w:rsidR="009B0563" w:rsidRPr="00302FE1" w:rsidRDefault="00B9677E" w:rsidP="00776E3D">
            <w:pPr>
              <w:spacing w:before="0"/>
              <w:rPr>
                <w:rFonts w:ascii="Verdana" w:hAnsi="Verdana" w:cs="Times New Roman Bold"/>
                <w:b/>
                <w:bCs/>
                <w:sz w:val="19"/>
                <w:szCs w:val="19"/>
              </w:rPr>
            </w:pPr>
            <w:r w:rsidRPr="00302FE1">
              <w:rPr>
                <w:rFonts w:ascii="Verdana" w:hAnsi="Verdana" w:cs="Times New Roman Bold"/>
                <w:b/>
                <w:bCs/>
                <w:sz w:val="18"/>
                <w:szCs w:val="18"/>
              </w:rPr>
              <w:t>Ginebra</w:t>
            </w:r>
            <w:r w:rsidR="0094505C" w:rsidRPr="00302FE1">
              <w:rPr>
                <w:rFonts w:ascii="Verdana" w:hAnsi="Verdana" w:cs="Times New Roman Bold"/>
                <w:b/>
                <w:bCs/>
                <w:sz w:val="18"/>
                <w:szCs w:val="18"/>
              </w:rPr>
              <w:t>,</w:t>
            </w:r>
            <w:r w:rsidR="00776E3D" w:rsidRPr="00302FE1">
              <w:rPr>
                <w:rFonts w:ascii="Verdana" w:hAnsi="Verdana" w:cs="Times New Roman Bold"/>
                <w:b/>
                <w:bCs/>
                <w:sz w:val="18"/>
                <w:szCs w:val="18"/>
              </w:rPr>
              <w:t xml:space="preserve"> </w:t>
            </w:r>
            <w:r w:rsidR="0094505C" w:rsidRPr="00302FE1">
              <w:rPr>
                <w:rFonts w:ascii="Verdana" w:hAnsi="Verdana" w:cs="Times New Roman Bold"/>
                <w:b/>
                <w:bCs/>
                <w:sz w:val="18"/>
                <w:szCs w:val="18"/>
              </w:rPr>
              <w:t>1</w:t>
            </w:r>
            <w:r w:rsidR="00776E3D" w:rsidRPr="00302FE1">
              <w:rPr>
                <w:rFonts w:ascii="Verdana" w:hAnsi="Verdana" w:cs="Times New Roman Bold"/>
                <w:b/>
                <w:bCs/>
                <w:sz w:val="18"/>
                <w:szCs w:val="18"/>
              </w:rPr>
              <w:t>-</w:t>
            </w:r>
            <w:r w:rsidR="0094505C" w:rsidRPr="00302FE1">
              <w:rPr>
                <w:rFonts w:ascii="Verdana" w:hAnsi="Verdana" w:cs="Times New Roman Bold"/>
                <w:b/>
                <w:bCs/>
                <w:sz w:val="18"/>
                <w:szCs w:val="18"/>
              </w:rPr>
              <w:t xml:space="preserve">9 </w:t>
            </w:r>
            <w:r w:rsidR="00776E3D" w:rsidRPr="00302FE1">
              <w:rPr>
                <w:rFonts w:ascii="Verdana" w:hAnsi="Verdana" w:cs="Times New Roman Bold"/>
                <w:b/>
                <w:bCs/>
                <w:sz w:val="18"/>
                <w:szCs w:val="18"/>
              </w:rPr>
              <w:t>de marzo de 202</w:t>
            </w:r>
            <w:r w:rsidR="0094505C" w:rsidRPr="00302FE1">
              <w:rPr>
                <w:rFonts w:ascii="Verdana" w:hAnsi="Verdana" w:cs="Times New Roman Bold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3198" w:type="dxa"/>
            <w:vAlign w:val="center"/>
          </w:tcPr>
          <w:p w14:paraId="4DAC7A9F" w14:textId="77777777" w:rsidR="009B0563" w:rsidRPr="00302FE1" w:rsidRDefault="009B0563" w:rsidP="009B0563">
            <w:pPr>
              <w:spacing w:before="0"/>
            </w:pPr>
            <w:r w:rsidRPr="00302FE1">
              <w:rPr>
                <w:noProof/>
              </w:rPr>
              <w:drawing>
                <wp:inline distT="0" distB="0" distL="0" distR="0" wp14:anchorId="4FE77AF3" wp14:editId="7E64ADF1">
                  <wp:extent cx="682402" cy="720000"/>
                  <wp:effectExtent l="0" t="0" r="3810" b="444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2402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0220A" w:rsidRPr="00302FE1" w14:paraId="32F176B2" w14:textId="77777777" w:rsidTr="004B520A">
        <w:trPr>
          <w:cantSplit/>
        </w:trPr>
        <w:tc>
          <w:tcPr>
            <w:tcW w:w="6613" w:type="dxa"/>
            <w:tcBorders>
              <w:bottom w:val="single" w:sz="12" w:space="0" w:color="auto"/>
            </w:tcBorders>
          </w:tcPr>
          <w:p w14:paraId="409A1484" w14:textId="77777777" w:rsidR="00F0220A" w:rsidRPr="00302FE1" w:rsidRDefault="00F0220A" w:rsidP="004B520A">
            <w:pPr>
              <w:spacing w:before="0"/>
            </w:pPr>
          </w:p>
        </w:tc>
        <w:tc>
          <w:tcPr>
            <w:tcW w:w="3198" w:type="dxa"/>
            <w:tcBorders>
              <w:bottom w:val="single" w:sz="12" w:space="0" w:color="auto"/>
            </w:tcBorders>
          </w:tcPr>
          <w:p w14:paraId="7211E0FE" w14:textId="77777777" w:rsidR="00F0220A" w:rsidRPr="00302FE1" w:rsidRDefault="00F0220A" w:rsidP="004B520A">
            <w:pPr>
              <w:spacing w:before="0"/>
            </w:pPr>
          </w:p>
        </w:tc>
      </w:tr>
      <w:tr w:rsidR="005A374D" w:rsidRPr="00302FE1" w14:paraId="4F9C92BE" w14:textId="77777777" w:rsidTr="004B520A">
        <w:trPr>
          <w:cantSplit/>
        </w:trPr>
        <w:tc>
          <w:tcPr>
            <w:tcW w:w="6613" w:type="dxa"/>
            <w:tcBorders>
              <w:top w:val="single" w:sz="12" w:space="0" w:color="auto"/>
            </w:tcBorders>
          </w:tcPr>
          <w:p w14:paraId="74635F68" w14:textId="77777777" w:rsidR="005A374D" w:rsidRPr="00302FE1" w:rsidRDefault="005A374D" w:rsidP="004B520A">
            <w:pPr>
              <w:spacing w:before="0"/>
            </w:pPr>
          </w:p>
        </w:tc>
        <w:tc>
          <w:tcPr>
            <w:tcW w:w="3198" w:type="dxa"/>
          </w:tcPr>
          <w:p w14:paraId="23500355" w14:textId="77777777" w:rsidR="005A374D" w:rsidRPr="00302FE1" w:rsidRDefault="005A374D" w:rsidP="004B520A">
            <w:pPr>
              <w:spacing w:before="0"/>
              <w:rPr>
                <w:rFonts w:ascii="Verdana" w:hAnsi="Verdana"/>
                <w:b/>
                <w:bCs/>
                <w:sz w:val="20"/>
              </w:rPr>
            </w:pPr>
          </w:p>
        </w:tc>
      </w:tr>
      <w:tr w:rsidR="00E83D45" w:rsidRPr="00302FE1" w14:paraId="774B9732" w14:textId="77777777" w:rsidTr="004B520A">
        <w:trPr>
          <w:cantSplit/>
        </w:trPr>
        <w:tc>
          <w:tcPr>
            <w:tcW w:w="6613" w:type="dxa"/>
          </w:tcPr>
          <w:p w14:paraId="44B66C13" w14:textId="77777777" w:rsidR="00E83D45" w:rsidRPr="00302FE1" w:rsidRDefault="00E83D45" w:rsidP="004B520A">
            <w:pPr>
              <w:pStyle w:val="Committee"/>
              <w:framePr w:hSpace="0" w:wrap="auto" w:hAnchor="text" w:yAlign="inline"/>
              <w:rPr>
                <w:lang w:val="es-ES_tradnl"/>
              </w:rPr>
            </w:pPr>
            <w:r w:rsidRPr="00302FE1">
              <w:rPr>
                <w:lang w:val="es-ES_tradnl"/>
              </w:rPr>
              <w:t>SESIÓN PLENARIA</w:t>
            </w:r>
          </w:p>
        </w:tc>
        <w:tc>
          <w:tcPr>
            <w:tcW w:w="3198" w:type="dxa"/>
          </w:tcPr>
          <w:p w14:paraId="255CE1B5" w14:textId="77777777" w:rsidR="00E83D45" w:rsidRPr="00302FE1" w:rsidRDefault="00E83D45" w:rsidP="002E5627">
            <w:pPr>
              <w:pStyle w:val="DocNumber"/>
              <w:rPr>
                <w:bCs/>
                <w:lang w:val="es-ES_tradnl"/>
              </w:rPr>
            </w:pPr>
            <w:r w:rsidRPr="00302FE1">
              <w:rPr>
                <w:lang w:val="es-ES_tradnl"/>
              </w:rPr>
              <w:t>Addéndum 33 al</w:t>
            </w:r>
            <w:r w:rsidRPr="00302FE1">
              <w:rPr>
                <w:lang w:val="es-ES_tradnl"/>
              </w:rPr>
              <w:br/>
              <w:t>Documento 36-S</w:t>
            </w:r>
          </w:p>
        </w:tc>
      </w:tr>
      <w:tr w:rsidR="00E83D45" w:rsidRPr="00302FE1" w14:paraId="0AB2277C" w14:textId="77777777" w:rsidTr="004B520A">
        <w:trPr>
          <w:cantSplit/>
        </w:trPr>
        <w:tc>
          <w:tcPr>
            <w:tcW w:w="6613" w:type="dxa"/>
          </w:tcPr>
          <w:p w14:paraId="29F44D14" w14:textId="77777777" w:rsidR="00E83D45" w:rsidRPr="00302FE1" w:rsidRDefault="00E83D45" w:rsidP="004B520A">
            <w:pPr>
              <w:spacing w:before="0" w:after="48"/>
              <w:rPr>
                <w:rFonts w:ascii="Verdana" w:hAnsi="Verdana"/>
                <w:b/>
                <w:smallCaps/>
                <w:sz w:val="20"/>
              </w:rPr>
            </w:pPr>
          </w:p>
        </w:tc>
        <w:tc>
          <w:tcPr>
            <w:tcW w:w="3198" w:type="dxa"/>
          </w:tcPr>
          <w:p w14:paraId="1C3DD21B" w14:textId="77777777" w:rsidR="00E83D45" w:rsidRPr="00302FE1" w:rsidRDefault="00E83D45" w:rsidP="004B520A">
            <w:pPr>
              <w:spacing w:before="0"/>
              <w:rPr>
                <w:rFonts w:ascii="Verdana" w:hAnsi="Verdana"/>
                <w:b/>
                <w:bCs/>
                <w:sz w:val="20"/>
              </w:rPr>
            </w:pPr>
            <w:r w:rsidRPr="00302FE1">
              <w:rPr>
                <w:rFonts w:ascii="Verdana" w:hAnsi="Verdana"/>
                <w:b/>
                <w:sz w:val="20"/>
              </w:rPr>
              <w:t>8 de febrero de 2022</w:t>
            </w:r>
          </w:p>
        </w:tc>
      </w:tr>
      <w:tr w:rsidR="00E83D45" w:rsidRPr="00302FE1" w14:paraId="6735B3BD" w14:textId="77777777" w:rsidTr="004B520A">
        <w:trPr>
          <w:cantSplit/>
        </w:trPr>
        <w:tc>
          <w:tcPr>
            <w:tcW w:w="6613" w:type="dxa"/>
          </w:tcPr>
          <w:p w14:paraId="6FA17312" w14:textId="77777777" w:rsidR="00E83D45" w:rsidRPr="00302FE1" w:rsidRDefault="00E83D45" w:rsidP="004B520A">
            <w:pPr>
              <w:spacing w:before="0"/>
            </w:pPr>
          </w:p>
        </w:tc>
        <w:tc>
          <w:tcPr>
            <w:tcW w:w="3198" w:type="dxa"/>
          </w:tcPr>
          <w:p w14:paraId="1FC86E21" w14:textId="77777777" w:rsidR="00E83D45" w:rsidRPr="00302FE1" w:rsidRDefault="00E83D45" w:rsidP="004B520A">
            <w:pPr>
              <w:spacing w:before="0"/>
              <w:rPr>
                <w:rFonts w:ascii="Verdana" w:hAnsi="Verdana"/>
                <w:b/>
                <w:bCs/>
                <w:sz w:val="20"/>
              </w:rPr>
            </w:pPr>
            <w:r w:rsidRPr="00302FE1">
              <w:rPr>
                <w:rFonts w:ascii="Verdana" w:hAnsi="Verdana"/>
                <w:b/>
                <w:sz w:val="20"/>
              </w:rPr>
              <w:t>Original: inglés</w:t>
            </w:r>
          </w:p>
        </w:tc>
      </w:tr>
      <w:tr w:rsidR="00681766" w:rsidRPr="00302FE1" w14:paraId="54997CE2" w14:textId="77777777" w:rsidTr="004B520A">
        <w:trPr>
          <w:cantSplit/>
        </w:trPr>
        <w:tc>
          <w:tcPr>
            <w:tcW w:w="9811" w:type="dxa"/>
            <w:gridSpan w:val="2"/>
          </w:tcPr>
          <w:p w14:paraId="123D4C01" w14:textId="77777777" w:rsidR="00681766" w:rsidRPr="00302FE1" w:rsidRDefault="00681766" w:rsidP="004B520A">
            <w:pPr>
              <w:spacing w:before="0"/>
              <w:rPr>
                <w:rFonts w:ascii="Verdana" w:hAnsi="Verdana"/>
                <w:b/>
                <w:bCs/>
                <w:sz w:val="20"/>
              </w:rPr>
            </w:pPr>
          </w:p>
        </w:tc>
      </w:tr>
      <w:tr w:rsidR="00E83D45" w:rsidRPr="00302FE1" w14:paraId="2A95AF68" w14:textId="77777777" w:rsidTr="004B520A">
        <w:trPr>
          <w:cantSplit/>
        </w:trPr>
        <w:tc>
          <w:tcPr>
            <w:tcW w:w="9811" w:type="dxa"/>
            <w:gridSpan w:val="2"/>
          </w:tcPr>
          <w:p w14:paraId="1F58BE9F" w14:textId="77777777" w:rsidR="00E83D45" w:rsidRPr="00302FE1" w:rsidRDefault="00E83D45" w:rsidP="004B520A">
            <w:pPr>
              <w:pStyle w:val="Source"/>
            </w:pPr>
            <w:r w:rsidRPr="00302FE1">
              <w:t>Administraciones de los Estados Árabes</w:t>
            </w:r>
          </w:p>
        </w:tc>
      </w:tr>
      <w:tr w:rsidR="00E83D45" w:rsidRPr="00302FE1" w14:paraId="2D7618EA" w14:textId="77777777" w:rsidTr="004B520A">
        <w:trPr>
          <w:cantSplit/>
        </w:trPr>
        <w:tc>
          <w:tcPr>
            <w:tcW w:w="9811" w:type="dxa"/>
            <w:gridSpan w:val="2"/>
          </w:tcPr>
          <w:p w14:paraId="4B76F3DC" w14:textId="095B3B42" w:rsidR="00E83D45" w:rsidRPr="00302FE1" w:rsidRDefault="00B5249D" w:rsidP="001562B8">
            <w:pPr>
              <w:pStyle w:val="Title1"/>
            </w:pPr>
            <w:r w:rsidRPr="00302FE1">
              <w:t xml:space="preserve">PROPUESTA DE NUEVA RESOLUCIÓN </w:t>
            </w:r>
            <w:r w:rsidR="00E83D45" w:rsidRPr="00302FE1">
              <w:t>[ARB-4]</w:t>
            </w:r>
            <w:r w:rsidRPr="00302FE1">
              <w:t xml:space="preserve"> – DESARROLLO DE REDES ABIERTAS, </w:t>
            </w:r>
            <w:r w:rsidR="001562B8" w:rsidRPr="00302FE1">
              <w:t>CON INCLUSIÓN DE</w:t>
            </w:r>
            <w:r w:rsidRPr="00302FE1">
              <w:t xml:space="preserve"> LA NORMALIZACIÓN DE LAS REDES DE ACCESO ABIERTO</w:t>
            </w:r>
          </w:p>
        </w:tc>
      </w:tr>
    </w:tbl>
    <w:p w14:paraId="518AB351" w14:textId="77777777" w:rsidR="0051705A" w:rsidRPr="00302FE1" w:rsidRDefault="0051705A" w:rsidP="00C25B5B"/>
    <w:p w14:paraId="510E01DE" w14:textId="77777777" w:rsidR="00B07178" w:rsidRPr="00302FE1" w:rsidRDefault="00B07178" w:rsidP="00C25B5B">
      <w:r w:rsidRPr="00302FE1">
        <w:br w:type="page"/>
      </w:r>
    </w:p>
    <w:p w14:paraId="216A7A84" w14:textId="77777777" w:rsidR="00E83D45" w:rsidRPr="00302FE1" w:rsidRDefault="00E83D45" w:rsidP="007E5A28"/>
    <w:p w14:paraId="0CEADDC4" w14:textId="77777777" w:rsidR="001D4E54" w:rsidRPr="00302FE1" w:rsidRDefault="00E159BE">
      <w:pPr>
        <w:pStyle w:val="Proposal"/>
      </w:pPr>
      <w:r w:rsidRPr="00302FE1">
        <w:t>ADD</w:t>
      </w:r>
      <w:r w:rsidRPr="00302FE1">
        <w:tab/>
        <w:t>ARB/36A33/1</w:t>
      </w:r>
    </w:p>
    <w:p w14:paraId="294A6A71" w14:textId="4EF2DD5D" w:rsidR="00E83D45" w:rsidRPr="00302FE1" w:rsidRDefault="00E159BE" w:rsidP="00B42790">
      <w:pPr>
        <w:pStyle w:val="ResNo"/>
      </w:pPr>
      <w:r w:rsidRPr="00302FE1">
        <w:t>PROYECTO DE NUEVA RESOLUCIÓN</w:t>
      </w:r>
      <w:r w:rsidR="00B5249D" w:rsidRPr="00302FE1">
        <w:t xml:space="preserve"> [ARB-4]</w:t>
      </w:r>
    </w:p>
    <w:p w14:paraId="5048C699" w14:textId="12F7AA7C" w:rsidR="00933AE3" w:rsidRPr="00933AE3" w:rsidRDefault="00B5249D" w:rsidP="00933AE3">
      <w:pPr>
        <w:pStyle w:val="Restitle"/>
      </w:pPr>
      <w:r w:rsidRPr="00302FE1">
        <w:t>D</w:t>
      </w:r>
      <w:r w:rsidR="00302FE1" w:rsidRPr="00302FE1">
        <w:t>esarrollo de redes abiertas, con inclusión de la</w:t>
      </w:r>
      <w:r w:rsidR="00302FE1">
        <w:br/>
      </w:r>
      <w:r w:rsidR="00302FE1" w:rsidRPr="00302FE1">
        <w:t>normalización de las redes de acceso abierto</w:t>
      </w:r>
    </w:p>
    <w:p w14:paraId="295419D4" w14:textId="45080FF9" w:rsidR="00B5249D" w:rsidRPr="00302FE1" w:rsidRDefault="00B5249D" w:rsidP="00302FE1">
      <w:pPr>
        <w:pStyle w:val="Resref"/>
      </w:pPr>
      <w:r w:rsidRPr="00302FE1">
        <w:t>(</w:t>
      </w:r>
      <w:r w:rsidR="00596605" w:rsidRPr="00302FE1">
        <w:t>Ginebra</w:t>
      </w:r>
      <w:r w:rsidRPr="00302FE1">
        <w:t>, 2022)</w:t>
      </w:r>
    </w:p>
    <w:p w14:paraId="1525E3CA" w14:textId="490E2B8F" w:rsidR="00B5249D" w:rsidRPr="00302FE1" w:rsidRDefault="00B5249D" w:rsidP="00B42790">
      <w:pPr>
        <w:pStyle w:val="Normalaftertitle"/>
      </w:pPr>
      <w:r w:rsidRPr="00302FE1">
        <w:t>La Asamblea Mundial de Normalización de las Telecomunicaciones (Ginebra, 2022),</w:t>
      </w:r>
    </w:p>
    <w:p w14:paraId="3214B1D7" w14:textId="37E1C2D0" w:rsidR="005F1AA7" w:rsidRPr="00302FE1" w:rsidRDefault="005F1AA7" w:rsidP="00B42790">
      <w:pPr>
        <w:pStyle w:val="Call"/>
      </w:pPr>
      <w:r w:rsidRPr="00302FE1">
        <w:t>considerando</w:t>
      </w:r>
    </w:p>
    <w:p w14:paraId="5EF76204" w14:textId="5285D0C1" w:rsidR="005F1AA7" w:rsidRPr="00302FE1" w:rsidRDefault="005F1AA7" w:rsidP="00B42790">
      <w:r w:rsidRPr="00302FE1">
        <w:rPr>
          <w:i/>
          <w:iCs/>
        </w:rPr>
        <w:t>a)</w:t>
      </w:r>
      <w:r w:rsidRPr="00302FE1">
        <w:tab/>
        <w:t xml:space="preserve">que en la Resolución 90 (Hammamet, 2016), Código abierto en el Sector de Normalización de las Telecomunicaciones de la UIT, se resolvió </w:t>
      </w:r>
      <w:r w:rsidR="00AD5359" w:rsidRPr="00302FE1">
        <w:t>promover la utilización de proyectos de</w:t>
      </w:r>
      <w:r w:rsidRPr="00302FE1">
        <w:t xml:space="preserve"> código abierto</w:t>
      </w:r>
      <w:r w:rsidR="00AD5359" w:rsidRPr="00302FE1">
        <w:t xml:space="preserve"> en </w:t>
      </w:r>
      <w:r w:rsidR="00596605" w:rsidRPr="00302FE1">
        <w:t>los</w:t>
      </w:r>
      <w:r w:rsidR="00AD5359" w:rsidRPr="00302FE1">
        <w:t xml:space="preserve"> trabajos</w:t>
      </w:r>
      <w:r w:rsidR="00596605" w:rsidRPr="00302FE1">
        <w:t xml:space="preserve"> del Sector</w:t>
      </w:r>
      <w:r w:rsidR="00AD5359" w:rsidRPr="00302FE1">
        <w:t>, si procede</w:t>
      </w:r>
      <w:r w:rsidRPr="00302FE1">
        <w:t>;</w:t>
      </w:r>
    </w:p>
    <w:p w14:paraId="53781648" w14:textId="4E001AA9" w:rsidR="005F1AA7" w:rsidRPr="00302FE1" w:rsidRDefault="005F1AA7" w:rsidP="00B42790">
      <w:r w:rsidRPr="00302FE1">
        <w:rPr>
          <w:i/>
          <w:iCs/>
        </w:rPr>
        <w:t>b)</w:t>
      </w:r>
      <w:r w:rsidRPr="00302FE1">
        <w:tab/>
      </w:r>
      <w:r w:rsidR="00AD5359" w:rsidRPr="00302FE1">
        <w:t xml:space="preserve">el retraso existente en la adopción de nuevos sistemas de Telecomunicaciones Móviles Internacionales (IMT), incluida la tecnología IMT-2020, en particular en los países en desarrollo, posiblemente </w:t>
      </w:r>
      <w:r w:rsidR="00596605" w:rsidRPr="00302FE1">
        <w:t xml:space="preserve">debido </w:t>
      </w:r>
      <w:r w:rsidR="00AD5359" w:rsidRPr="00302FE1">
        <w:t xml:space="preserve">a la cuantiosa inversión </w:t>
      </w:r>
      <w:r w:rsidR="00EC2A19" w:rsidRPr="00302FE1">
        <w:t>que supone</w:t>
      </w:r>
      <w:r w:rsidR="00AD5359" w:rsidRPr="00302FE1">
        <w:t xml:space="preserve"> la implantación de nuevas tecnologías</w:t>
      </w:r>
      <w:r w:rsidRPr="00302FE1">
        <w:t>;</w:t>
      </w:r>
    </w:p>
    <w:p w14:paraId="40FBB866" w14:textId="495F673F" w:rsidR="005F1AA7" w:rsidRPr="00302FE1" w:rsidRDefault="005F1AA7" w:rsidP="00B42790">
      <w:r w:rsidRPr="00302FE1">
        <w:rPr>
          <w:i/>
        </w:rPr>
        <w:t>c)</w:t>
      </w:r>
      <w:r w:rsidRPr="00302FE1">
        <w:tab/>
      </w:r>
      <w:r w:rsidR="00AD5359" w:rsidRPr="00302FE1">
        <w:t xml:space="preserve">la creciente tendencia a desarrollar redes abiertas basadas en la nube, </w:t>
      </w:r>
      <w:r w:rsidR="00195A73" w:rsidRPr="00302FE1">
        <w:t>incluida</w:t>
      </w:r>
      <w:r w:rsidR="00AD5359" w:rsidRPr="00302FE1">
        <w:t xml:space="preserve"> la red de acceso IMT, </w:t>
      </w:r>
      <w:r w:rsidR="00147BE5" w:rsidRPr="00302FE1">
        <w:t xml:space="preserve">caracterizada por </w:t>
      </w:r>
      <w:r w:rsidR="00195A73" w:rsidRPr="00302FE1">
        <w:t xml:space="preserve">la </w:t>
      </w:r>
      <w:r w:rsidR="00147BE5" w:rsidRPr="00302FE1">
        <w:t>desvinculación entre</w:t>
      </w:r>
      <w:r w:rsidR="00195A73" w:rsidRPr="00302FE1">
        <w:t xml:space="preserve"> equipo</w:t>
      </w:r>
      <w:r w:rsidR="00A54CB2" w:rsidRPr="00302FE1">
        <w:t>s</w:t>
      </w:r>
      <w:r w:rsidR="00195A73" w:rsidRPr="00302FE1">
        <w:t xml:space="preserve"> </w:t>
      </w:r>
      <w:r w:rsidR="00147BE5" w:rsidRPr="00302FE1">
        <w:t>y programa</w:t>
      </w:r>
      <w:r w:rsidR="00A54CB2" w:rsidRPr="00302FE1">
        <w:t>s</w:t>
      </w:r>
      <w:r w:rsidR="00AD5359" w:rsidRPr="00302FE1">
        <w:t xml:space="preserve">, </w:t>
      </w:r>
      <w:r w:rsidR="00195A73" w:rsidRPr="00302FE1">
        <w:t xml:space="preserve">lo que </w:t>
      </w:r>
      <w:r w:rsidR="00147BE5" w:rsidRPr="00302FE1">
        <w:t>comprende</w:t>
      </w:r>
      <w:r w:rsidR="00AD5359" w:rsidRPr="00302FE1">
        <w:t xml:space="preserve"> la virtualización y la </w:t>
      </w:r>
      <w:r w:rsidR="00147BE5" w:rsidRPr="00302FE1">
        <w:t>contenerización</w:t>
      </w:r>
      <w:r w:rsidR="00AD5359" w:rsidRPr="00302FE1">
        <w:t xml:space="preserve"> de las funciones de red</w:t>
      </w:r>
      <w:r w:rsidRPr="00302FE1">
        <w:t xml:space="preserve">; </w:t>
      </w:r>
    </w:p>
    <w:p w14:paraId="57A4A681" w14:textId="4BDB15F9" w:rsidR="00147BE5" w:rsidRPr="00302FE1" w:rsidRDefault="005F1AA7" w:rsidP="00B42790">
      <w:r w:rsidRPr="00302FE1">
        <w:rPr>
          <w:i/>
          <w:iCs/>
        </w:rPr>
        <w:t>d)</w:t>
      </w:r>
      <w:r w:rsidRPr="00302FE1">
        <w:tab/>
      </w:r>
      <w:r w:rsidR="00596605" w:rsidRPr="00302FE1">
        <w:t>l</w:t>
      </w:r>
      <w:r w:rsidR="00147BE5" w:rsidRPr="00302FE1">
        <w:t>a Resolución </w:t>
      </w:r>
      <w:r w:rsidR="002811D1">
        <w:t>UIT</w:t>
      </w:r>
      <w:r w:rsidR="00147BE5" w:rsidRPr="00302FE1">
        <w:noBreakHyphen/>
        <w:t>R 56, Denominación de las telecomunicaciones móviles internacionales, en la que</w:t>
      </w:r>
      <w:r w:rsidR="009A1AA3" w:rsidRPr="00302FE1">
        <w:t xml:space="preserve"> </w:t>
      </w:r>
      <w:r w:rsidR="00596605" w:rsidRPr="00302FE1">
        <w:t xml:space="preserve">se </w:t>
      </w:r>
      <w:r w:rsidR="009A1AA3" w:rsidRPr="00302FE1">
        <w:t xml:space="preserve">establece que las IMT engloban, de forma colectiva, a </w:t>
      </w:r>
      <w:r w:rsidR="00147BE5" w:rsidRPr="00302FE1">
        <w:t>las IMT-2000, las IMT</w:t>
      </w:r>
      <w:r w:rsidR="002811D1">
        <w:noBreakHyphen/>
      </w:r>
      <w:r w:rsidR="00147BE5" w:rsidRPr="00302FE1">
        <w:t xml:space="preserve">Avanzadas, las IMT-2020 y el desarrollo futuro de las </w:t>
      </w:r>
      <w:r w:rsidR="00B27A48" w:rsidRPr="00302FE1">
        <w:t>"</w:t>
      </w:r>
      <w:r w:rsidR="00147BE5" w:rsidRPr="00302FE1">
        <w:t xml:space="preserve">IMT para 2020 y </w:t>
      </w:r>
      <w:r w:rsidR="009A1AA3" w:rsidRPr="00302FE1">
        <w:t>sistemas</w:t>
      </w:r>
      <w:r w:rsidR="00B27A48" w:rsidRPr="00302FE1">
        <w:t xml:space="preserve"> </w:t>
      </w:r>
      <w:r w:rsidR="009A1AA3" w:rsidRPr="00302FE1">
        <w:t>posteriores</w:t>
      </w:r>
      <w:r w:rsidR="00B27A48" w:rsidRPr="00302FE1">
        <w:t>"</w:t>
      </w:r>
      <w:r w:rsidR="00147BE5" w:rsidRPr="00302FE1">
        <w:t xml:space="preserve"> (por ejemplo, </w:t>
      </w:r>
      <w:r w:rsidR="00596605" w:rsidRPr="00302FE1">
        <w:t xml:space="preserve">las </w:t>
      </w:r>
      <w:r w:rsidR="00147BE5" w:rsidRPr="00302FE1">
        <w:t>IMT-2030);</w:t>
      </w:r>
    </w:p>
    <w:p w14:paraId="62948E75" w14:textId="6C08A7A3" w:rsidR="00147BE5" w:rsidRPr="00302FE1" w:rsidRDefault="00147BE5" w:rsidP="00B42790">
      <w:r w:rsidRPr="00302FE1">
        <w:rPr>
          <w:i/>
          <w:iCs/>
        </w:rPr>
        <w:t>e)</w:t>
      </w:r>
      <w:r w:rsidRPr="00302FE1">
        <w:tab/>
      </w:r>
      <w:r w:rsidR="009A1AA3" w:rsidRPr="00302FE1">
        <w:t xml:space="preserve">que los sistemas IMT proporcionan servicios de telecomunicaciones a escala mundial y siguen contribuyendo al desarrollo </w:t>
      </w:r>
      <w:r w:rsidR="00A54CB2" w:rsidRPr="00302FE1">
        <w:t>socio</w:t>
      </w:r>
      <w:r w:rsidR="009A1AA3" w:rsidRPr="00302FE1">
        <w:t>económico mundial</w:t>
      </w:r>
      <w:r w:rsidRPr="00302FE1">
        <w:t>;</w:t>
      </w:r>
    </w:p>
    <w:p w14:paraId="782A1869" w14:textId="125E8089" w:rsidR="00147BE5" w:rsidRPr="00302FE1" w:rsidRDefault="00147BE5" w:rsidP="00B42790">
      <w:r w:rsidRPr="00302FE1">
        <w:rPr>
          <w:i/>
          <w:iCs/>
        </w:rPr>
        <w:t>f)</w:t>
      </w:r>
      <w:r w:rsidRPr="00302FE1">
        <w:tab/>
      </w:r>
      <w:r w:rsidR="009A1AA3" w:rsidRPr="00302FE1">
        <w:t>que los sistemas IMT seguirán contribuyendo de forma considerable a la reducción de la brecha digital en todo el mundo y al logro de los Objetivos de Desarrollo Sostenible de las Naciones Unidas</w:t>
      </w:r>
      <w:r w:rsidRPr="00302FE1">
        <w:t>;</w:t>
      </w:r>
    </w:p>
    <w:p w14:paraId="01F7624B" w14:textId="1AADC870" w:rsidR="00147BE5" w:rsidRPr="00302FE1" w:rsidRDefault="00147BE5" w:rsidP="00B42790">
      <w:r w:rsidRPr="00302FE1">
        <w:rPr>
          <w:i/>
          <w:iCs/>
        </w:rPr>
        <w:t>g)</w:t>
      </w:r>
      <w:r w:rsidRPr="00302FE1">
        <w:tab/>
      </w:r>
      <w:r w:rsidR="009A1AA3" w:rsidRPr="00302FE1">
        <w:t xml:space="preserve">que el Sector de Normalización de las Telecomunicaciones de la UIT (UIT-T) continúa realizando de forma activa sus estudios sobre los aspectos de red y las tecnologías </w:t>
      </w:r>
      <w:r w:rsidR="00596605" w:rsidRPr="00302FE1">
        <w:t xml:space="preserve">generales </w:t>
      </w:r>
      <w:r w:rsidR="009A1AA3" w:rsidRPr="00302FE1">
        <w:t>de las</w:t>
      </w:r>
      <w:r w:rsidR="002811D1">
        <w:t> </w:t>
      </w:r>
      <w:r w:rsidR="009A1AA3" w:rsidRPr="00302FE1">
        <w:t>IMT</w:t>
      </w:r>
      <w:r w:rsidRPr="00302FE1">
        <w:t>;</w:t>
      </w:r>
    </w:p>
    <w:p w14:paraId="0A828B53" w14:textId="23140A8F" w:rsidR="00147BE5" w:rsidRPr="00302FE1" w:rsidRDefault="00147BE5" w:rsidP="00B42790">
      <w:r w:rsidRPr="00302FE1">
        <w:rPr>
          <w:i/>
          <w:iCs/>
        </w:rPr>
        <w:t>h)</w:t>
      </w:r>
      <w:r w:rsidRPr="00302FE1">
        <w:tab/>
      </w:r>
      <w:r w:rsidR="009A1AA3" w:rsidRPr="00302FE1">
        <w:t xml:space="preserve">que el UIT-T promueve la investigación y las labores internacionales </w:t>
      </w:r>
      <w:r w:rsidR="00031376" w:rsidRPr="00302FE1">
        <w:t>en materia de</w:t>
      </w:r>
      <w:r w:rsidR="009A1AA3" w:rsidRPr="00302FE1">
        <w:t xml:space="preserve"> normalización de las IMT, con el objetivo de desarrollar un ecosistema productivo y eficiente para todas las partes interesadas</w:t>
      </w:r>
      <w:r w:rsidRPr="00302FE1">
        <w:t>,</w:t>
      </w:r>
    </w:p>
    <w:p w14:paraId="4D27ABD9" w14:textId="01924BA2" w:rsidR="00147BE5" w:rsidRPr="00302FE1" w:rsidRDefault="00031376" w:rsidP="00302FE1">
      <w:pPr>
        <w:pStyle w:val="Call"/>
      </w:pPr>
      <w:r w:rsidRPr="00302FE1">
        <w:t>reco</w:t>
      </w:r>
      <w:r w:rsidR="00147BE5" w:rsidRPr="00302FE1">
        <w:t>n</w:t>
      </w:r>
      <w:r w:rsidRPr="00302FE1">
        <w:t>ociendo</w:t>
      </w:r>
    </w:p>
    <w:p w14:paraId="05F87340" w14:textId="2F5E8D32" w:rsidR="00147BE5" w:rsidRPr="00302FE1" w:rsidRDefault="00147BE5" w:rsidP="00302FE1">
      <w:r w:rsidRPr="00302FE1">
        <w:rPr>
          <w:i/>
          <w:iCs/>
        </w:rPr>
        <w:t>a)</w:t>
      </w:r>
      <w:r w:rsidRPr="00302FE1">
        <w:rPr>
          <w:i/>
          <w:iCs/>
        </w:rPr>
        <w:tab/>
      </w:r>
      <w:r w:rsidR="00031376" w:rsidRPr="00302FE1">
        <w:t xml:space="preserve">que la normalización de las </w:t>
      </w:r>
      <w:r w:rsidR="00596605" w:rsidRPr="00302FE1">
        <w:t xml:space="preserve">tecnologías </w:t>
      </w:r>
      <w:r w:rsidR="00031376" w:rsidRPr="00302FE1">
        <w:t xml:space="preserve">nuevas más innovadoras es importante para elaborar soluciones armonizadas que beneficien a las partes interesadas y </w:t>
      </w:r>
      <w:r w:rsidR="00596605" w:rsidRPr="00302FE1">
        <w:t xml:space="preserve">a </w:t>
      </w:r>
      <w:r w:rsidR="00031376" w:rsidRPr="00302FE1">
        <w:t>los usuarios de las tecnologías de la información y la comunicación (TIC)</w:t>
      </w:r>
      <w:r w:rsidRPr="00302FE1">
        <w:t>;</w:t>
      </w:r>
    </w:p>
    <w:p w14:paraId="276A171F" w14:textId="2D6A2CFF" w:rsidR="00147BE5" w:rsidRPr="00302FE1" w:rsidRDefault="00147BE5" w:rsidP="00302FE1">
      <w:r w:rsidRPr="00302FE1">
        <w:rPr>
          <w:i/>
          <w:iCs/>
        </w:rPr>
        <w:t>b)</w:t>
      </w:r>
      <w:r w:rsidRPr="00302FE1">
        <w:rPr>
          <w:i/>
          <w:iCs/>
        </w:rPr>
        <w:tab/>
      </w:r>
      <w:r w:rsidR="00031376" w:rsidRPr="00302FE1">
        <w:rPr>
          <w:iCs/>
        </w:rPr>
        <w:t>q</w:t>
      </w:r>
      <w:r w:rsidR="00031376" w:rsidRPr="00302FE1">
        <w:t xml:space="preserve">ue se está recurriendo a soluciones basadas en redes de código abierto y de acceso abierto para el desarrollo de las IMT y </w:t>
      </w:r>
      <w:r w:rsidR="00E15DB5" w:rsidRPr="00302FE1">
        <w:t xml:space="preserve">de </w:t>
      </w:r>
      <w:r w:rsidR="00031376" w:rsidRPr="00302FE1">
        <w:t>otros sistemas a fin de facilitar y acelerar el despliegue de nuevos sistemas, incluidas las IMT-2020 y posteriores, de manera rentable</w:t>
      </w:r>
      <w:r w:rsidRPr="00302FE1">
        <w:t>,</w:t>
      </w:r>
    </w:p>
    <w:p w14:paraId="2C05D4EF" w14:textId="1CFCF663" w:rsidR="00147BE5" w:rsidRPr="00302FE1" w:rsidRDefault="00031376" w:rsidP="00302FE1">
      <w:pPr>
        <w:pStyle w:val="Call"/>
      </w:pPr>
      <w:r w:rsidRPr="00302FE1">
        <w:lastRenderedPageBreak/>
        <w:t>observando</w:t>
      </w:r>
    </w:p>
    <w:p w14:paraId="76C6920A" w14:textId="124DBD86" w:rsidR="00147BE5" w:rsidRPr="00302FE1" w:rsidRDefault="00147BE5" w:rsidP="00302FE1">
      <w:r w:rsidRPr="00302FE1">
        <w:rPr>
          <w:i/>
          <w:iCs/>
        </w:rPr>
        <w:t>a)</w:t>
      </w:r>
      <w:r w:rsidRPr="00302FE1">
        <w:tab/>
      </w:r>
      <w:r w:rsidR="008234A1" w:rsidRPr="00302FE1">
        <w:t>las crecientes</w:t>
      </w:r>
      <w:r w:rsidR="00031376" w:rsidRPr="00302FE1">
        <w:t xml:space="preserve"> iniciativas nacionales, regionales e internacionales </w:t>
      </w:r>
      <w:r w:rsidR="00156141" w:rsidRPr="00302FE1">
        <w:t xml:space="preserve">en materia de normalización </w:t>
      </w:r>
      <w:r w:rsidR="00031376" w:rsidRPr="00302FE1">
        <w:t xml:space="preserve">para el desarrollo de tecnologías y soluciones relacionadas con las redes de acceso abierto (por ejemplo, la </w:t>
      </w:r>
      <w:r w:rsidR="00385977" w:rsidRPr="00302FE1">
        <w:t xml:space="preserve">red de acceso radioeléctrico </w:t>
      </w:r>
      <w:r w:rsidR="00031376" w:rsidRPr="00302FE1">
        <w:t>(RAN)</w:t>
      </w:r>
      <w:r w:rsidR="00385977" w:rsidRPr="00302FE1">
        <w:t xml:space="preserve"> abierta</w:t>
      </w:r>
      <w:r w:rsidR="00031376" w:rsidRPr="00302FE1">
        <w:t>)</w:t>
      </w:r>
      <w:r w:rsidR="00596605" w:rsidRPr="00302FE1">
        <w:t>;</w:t>
      </w:r>
    </w:p>
    <w:p w14:paraId="3ADD72D5" w14:textId="68178883" w:rsidR="00147BE5" w:rsidRPr="00302FE1" w:rsidRDefault="00147BE5" w:rsidP="00302FE1">
      <w:r w:rsidRPr="00302FE1">
        <w:rPr>
          <w:i/>
          <w:iCs/>
        </w:rPr>
        <w:t>b)</w:t>
      </w:r>
      <w:r w:rsidRPr="00302FE1">
        <w:tab/>
      </w:r>
      <w:r w:rsidR="008234A1" w:rsidRPr="00302FE1">
        <w:t xml:space="preserve">el comunicado pertinente de las reuniones de Directores Ejecutivos </w:t>
      </w:r>
      <w:r w:rsidR="00E15DB5" w:rsidRPr="00302FE1">
        <w:t>organizadas por el</w:t>
      </w:r>
      <w:r w:rsidR="00037958" w:rsidRPr="00302FE1">
        <w:t xml:space="preserve"> UIT</w:t>
      </w:r>
      <w:r w:rsidR="002811D1">
        <w:noBreakHyphen/>
      </w:r>
      <w:r w:rsidR="00037958" w:rsidRPr="00302FE1">
        <w:t>T</w:t>
      </w:r>
      <w:r w:rsidR="008234A1" w:rsidRPr="00302FE1">
        <w:t xml:space="preserve"> en el que se </w:t>
      </w:r>
      <w:r w:rsidR="00E15DB5" w:rsidRPr="00302FE1">
        <w:t>hacía</w:t>
      </w:r>
      <w:r w:rsidR="008234A1" w:rsidRPr="00302FE1">
        <w:t xml:space="preserve"> hincapié en la necesidad de garantizar soluciones interoperables </w:t>
      </w:r>
      <w:r w:rsidR="00385977" w:rsidRPr="00302FE1">
        <w:t xml:space="preserve">normalizadas </w:t>
      </w:r>
      <w:r w:rsidR="00156141" w:rsidRPr="00302FE1">
        <w:t>para</w:t>
      </w:r>
      <w:r w:rsidR="008234A1" w:rsidRPr="00302FE1">
        <w:t xml:space="preserve"> las interfaces, funciones y especificaciones de la RAN abierta</w:t>
      </w:r>
      <w:r w:rsidRPr="00302FE1">
        <w:t xml:space="preserve">, </w:t>
      </w:r>
    </w:p>
    <w:p w14:paraId="5C8B301E" w14:textId="23A46DAC" w:rsidR="00147BE5" w:rsidRPr="00302FE1" w:rsidRDefault="00385977" w:rsidP="00302FE1">
      <w:pPr>
        <w:pStyle w:val="Call"/>
      </w:pPr>
      <w:r w:rsidRPr="00302FE1">
        <w:t>resuelve</w:t>
      </w:r>
    </w:p>
    <w:p w14:paraId="62C1C776" w14:textId="355A7C8F" w:rsidR="00147BE5" w:rsidRPr="00302FE1" w:rsidRDefault="00147BE5" w:rsidP="00302FE1">
      <w:r w:rsidRPr="00302FE1">
        <w:t>1</w:t>
      </w:r>
      <w:r w:rsidRPr="00302FE1">
        <w:tab/>
      </w:r>
      <w:r w:rsidR="00385977" w:rsidRPr="00302FE1">
        <w:t xml:space="preserve">reforzar y acelerar las actividades de normalización relacionadas con el desarrollo de sistemas basados en tecnologías y soluciones de redes de código abierto y acceso abierto (incluidos los aspectos no radioeléctricos de los sistemas IMT basados en la RAN abierta), y llevar a cabo estudios pertinentes para </w:t>
      </w:r>
      <w:r w:rsidR="00596605" w:rsidRPr="00302FE1">
        <w:t>la elaboración</w:t>
      </w:r>
      <w:r w:rsidR="00385977" w:rsidRPr="00302FE1">
        <w:t xml:space="preserve"> de las especificaciones correspondientes (por ejemplo, las IMT-2020 y posteriores</w:t>
      </w:r>
      <w:r w:rsidRPr="00302FE1">
        <w:t>);</w:t>
      </w:r>
    </w:p>
    <w:p w14:paraId="3F0DEE88" w14:textId="612A8575" w:rsidR="00147BE5" w:rsidRPr="00302FE1" w:rsidRDefault="00147BE5" w:rsidP="00302FE1">
      <w:r w:rsidRPr="00302FE1">
        <w:t>2</w:t>
      </w:r>
      <w:r w:rsidRPr="00302FE1">
        <w:tab/>
      </w:r>
      <w:r w:rsidR="00385977" w:rsidRPr="00302FE1">
        <w:t>garantizar la coordinación y la colaboración entre las Comisiones de Estudio</w:t>
      </w:r>
      <w:r w:rsidR="00037958" w:rsidRPr="00302FE1">
        <w:t xml:space="preserve"> </w:t>
      </w:r>
      <w:r w:rsidR="00156141" w:rsidRPr="00302FE1">
        <w:t xml:space="preserve">del UIT-T </w:t>
      </w:r>
      <w:r w:rsidR="00037958" w:rsidRPr="00302FE1">
        <w:t>competentes</w:t>
      </w:r>
      <w:r w:rsidR="00385977" w:rsidRPr="00302FE1">
        <w:t xml:space="preserve"> </w:t>
      </w:r>
      <w:r w:rsidR="0015324C" w:rsidRPr="00302FE1">
        <w:t xml:space="preserve">en </w:t>
      </w:r>
      <w:r w:rsidR="00385977" w:rsidRPr="00302FE1">
        <w:t>el</w:t>
      </w:r>
      <w:r w:rsidR="00037958" w:rsidRPr="00302FE1">
        <w:t xml:space="preserve"> ámbito del</w:t>
      </w:r>
      <w:r w:rsidR="00385977" w:rsidRPr="00302FE1">
        <w:t xml:space="preserve"> desarrollo de</w:t>
      </w:r>
      <w:r w:rsidR="0015324C" w:rsidRPr="00302FE1">
        <w:t xml:space="preserve"> </w:t>
      </w:r>
      <w:r w:rsidR="00385977" w:rsidRPr="00302FE1">
        <w:t>redes de acceso abierto, incluidos los aspectos no radioeléctricos de los sistemas IMT basados en la RAN abierta;</w:t>
      </w:r>
      <w:r w:rsidR="00B27A48" w:rsidRPr="00302FE1">
        <w:t xml:space="preserve"> </w:t>
      </w:r>
    </w:p>
    <w:p w14:paraId="1484AA21" w14:textId="6C2DC6A4" w:rsidR="00147BE5" w:rsidRPr="00302FE1" w:rsidRDefault="00147BE5" w:rsidP="00302FE1">
      <w:r w:rsidRPr="00302FE1">
        <w:t>3</w:t>
      </w:r>
      <w:r w:rsidRPr="00302FE1">
        <w:tab/>
      </w:r>
      <w:r w:rsidR="00385977" w:rsidRPr="00302FE1">
        <w:t xml:space="preserve">apoyar la elaboración de </w:t>
      </w:r>
      <w:r w:rsidR="00156141" w:rsidRPr="00302FE1">
        <w:t>R</w:t>
      </w:r>
      <w:r w:rsidR="00385977" w:rsidRPr="00302FE1">
        <w:t xml:space="preserve">ecomendaciones, </w:t>
      </w:r>
      <w:r w:rsidR="00156141" w:rsidRPr="00302FE1">
        <w:t>S</w:t>
      </w:r>
      <w:r w:rsidR="00385977" w:rsidRPr="00302FE1">
        <w:t xml:space="preserve">uplementos e </w:t>
      </w:r>
      <w:r w:rsidR="00156141" w:rsidRPr="00302FE1">
        <w:t>I</w:t>
      </w:r>
      <w:r w:rsidR="00385977" w:rsidRPr="00302FE1">
        <w:t xml:space="preserve">nformes </w:t>
      </w:r>
      <w:r w:rsidR="002811D1" w:rsidRPr="00302FE1">
        <w:t xml:space="preserve">técnicos </w:t>
      </w:r>
      <w:r w:rsidR="00156141" w:rsidRPr="00302FE1">
        <w:t>en que se especifiquen</w:t>
      </w:r>
      <w:r w:rsidR="00385977" w:rsidRPr="00302FE1">
        <w:t xml:space="preserve"> las redes abiertas, incluidas las redes de acceso abierto</w:t>
      </w:r>
      <w:r w:rsidRPr="00302FE1">
        <w:t>,</w:t>
      </w:r>
    </w:p>
    <w:p w14:paraId="407F7BD8" w14:textId="5752020C" w:rsidR="00147BE5" w:rsidRPr="00302FE1" w:rsidRDefault="0015324C" w:rsidP="00302FE1">
      <w:pPr>
        <w:pStyle w:val="Call"/>
      </w:pPr>
      <w:r w:rsidRPr="00302FE1">
        <w:t>encarga al Grupo Asesor de Normalización de las Telecomunicaciones</w:t>
      </w:r>
      <w:r w:rsidR="00147BE5" w:rsidRPr="00302FE1">
        <w:t xml:space="preserve"> </w:t>
      </w:r>
      <w:r w:rsidRPr="00302FE1">
        <w:t>y a todas las Comisiones de Estudio competentes del Sector de Normalización de las Telecomunicaciones de la UIT</w:t>
      </w:r>
    </w:p>
    <w:p w14:paraId="75BEEEB9" w14:textId="4503586C" w:rsidR="00147BE5" w:rsidRPr="00302FE1" w:rsidRDefault="0015324C" w:rsidP="00302FE1">
      <w:r w:rsidRPr="00302FE1">
        <w:t xml:space="preserve">que establezcan </w:t>
      </w:r>
      <w:r w:rsidR="00156141" w:rsidRPr="00302FE1">
        <w:t>G</w:t>
      </w:r>
      <w:r w:rsidRPr="00302FE1">
        <w:t xml:space="preserve">rupos </w:t>
      </w:r>
      <w:r w:rsidR="00156141" w:rsidRPr="00302FE1">
        <w:t>T</w:t>
      </w:r>
      <w:r w:rsidRPr="00302FE1">
        <w:t>emáticos y lleven a cabo talleres con el fin de dar aplicación a esta Resolución</w:t>
      </w:r>
      <w:r w:rsidR="00147BE5" w:rsidRPr="00302FE1">
        <w:t>,</w:t>
      </w:r>
    </w:p>
    <w:p w14:paraId="38D92692" w14:textId="4A7B33DB" w:rsidR="00147BE5" w:rsidRPr="00302FE1" w:rsidRDefault="0015324C" w:rsidP="00302FE1">
      <w:pPr>
        <w:pStyle w:val="Call"/>
      </w:pPr>
      <w:r w:rsidRPr="00302FE1">
        <w:t>encarga al Director de la Oficina de Normalización de las Telecomunicaciones</w:t>
      </w:r>
    </w:p>
    <w:p w14:paraId="7DA97026" w14:textId="3BC855EA" w:rsidR="00147BE5" w:rsidRPr="00302FE1" w:rsidRDefault="00147BE5" w:rsidP="00302FE1">
      <w:r w:rsidRPr="00302FE1">
        <w:t>1</w:t>
      </w:r>
      <w:r w:rsidRPr="00302FE1">
        <w:tab/>
      </w:r>
      <w:r w:rsidR="0015324C" w:rsidRPr="00302FE1">
        <w:t xml:space="preserve">que colabore con los Directores de la Oficina de Radiocomunicaciones y de la Oficina de Desarrollo de las Telecomunicaciones en la aplicación de esta Resolución y que </w:t>
      </w:r>
      <w:r w:rsidR="0012448A" w:rsidRPr="00302FE1">
        <w:t>garantice</w:t>
      </w:r>
      <w:r w:rsidR="0015324C" w:rsidRPr="00302FE1">
        <w:t xml:space="preserve"> la colaboración entre las </w:t>
      </w:r>
      <w:r w:rsidR="0012448A" w:rsidRPr="00302FE1">
        <w:t>C</w:t>
      </w:r>
      <w:r w:rsidR="0015324C" w:rsidRPr="00302FE1">
        <w:t xml:space="preserve">omisiones de </w:t>
      </w:r>
      <w:r w:rsidR="0012448A" w:rsidRPr="00302FE1">
        <w:t>E</w:t>
      </w:r>
      <w:r w:rsidR="0015324C" w:rsidRPr="00302FE1">
        <w:t xml:space="preserve">studio </w:t>
      </w:r>
      <w:r w:rsidR="0012448A" w:rsidRPr="00302FE1">
        <w:t>competentes</w:t>
      </w:r>
      <w:r w:rsidR="0015324C" w:rsidRPr="00302FE1">
        <w:t>;</w:t>
      </w:r>
    </w:p>
    <w:p w14:paraId="5D1086D5" w14:textId="3760DFF7" w:rsidR="005F1AA7" w:rsidRDefault="00147BE5" w:rsidP="00302FE1">
      <w:r w:rsidRPr="00302FE1">
        <w:t>2</w:t>
      </w:r>
      <w:r w:rsidRPr="00302FE1">
        <w:tab/>
      </w:r>
      <w:r w:rsidR="008C0C52" w:rsidRPr="00302FE1">
        <w:t xml:space="preserve">que </w:t>
      </w:r>
      <w:r w:rsidR="0012448A" w:rsidRPr="00302FE1">
        <w:t>colabore con otros organismos de normalización en el desarrollo de redes de acceso abierto, incluidos los aspectos no radioeléctricos de los sistemas basados en la RAN abierta</w:t>
      </w:r>
      <w:r w:rsidRPr="00302FE1">
        <w:t>.</w:t>
      </w:r>
    </w:p>
    <w:p w14:paraId="44F3A4E0" w14:textId="77777777" w:rsidR="00933AE3" w:rsidRDefault="00933AE3" w:rsidP="00411C49">
      <w:pPr>
        <w:pStyle w:val="Reasons"/>
      </w:pPr>
    </w:p>
    <w:p w14:paraId="1A7CE897" w14:textId="4EAA9FAD" w:rsidR="00933AE3" w:rsidRPr="00302FE1" w:rsidRDefault="00933AE3" w:rsidP="00933AE3">
      <w:pPr>
        <w:jc w:val="center"/>
      </w:pPr>
      <w:r>
        <w:t>______________</w:t>
      </w:r>
    </w:p>
    <w:sectPr w:rsidR="00933AE3" w:rsidRPr="00302FE1">
      <w:headerReference w:type="default" r:id="rId11"/>
      <w:footerReference w:type="even" r:id="rId12"/>
      <w:footerReference w:type="default" r:id="rId13"/>
      <w:footerReference w:type="first" r:id="rId14"/>
      <w:pgSz w:w="11907" w:h="16840" w:code="9"/>
      <w:pgMar w:top="1418" w:right="1134" w:bottom="1418" w:left="1134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6A7CEB" w14:textId="77777777" w:rsidR="00FC241D" w:rsidRDefault="00FC241D">
      <w:r>
        <w:separator/>
      </w:r>
    </w:p>
  </w:endnote>
  <w:endnote w:type="continuationSeparator" w:id="0">
    <w:p w14:paraId="639D64C8" w14:textId="77777777" w:rsidR="00FC241D" w:rsidRDefault="00FC24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F76C6E" w14:textId="77777777" w:rsidR="0077084A" w:rsidRDefault="0077084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7707A4D4" w14:textId="34367DD8" w:rsidR="0077084A" w:rsidRPr="006E0078" w:rsidRDefault="0077084A">
    <w:pPr>
      <w:ind w:right="360"/>
      <w:rPr>
        <w:lang w:val="fr-CH"/>
      </w:rPr>
    </w:pPr>
    <w:r>
      <w:fldChar w:fldCharType="begin"/>
    </w:r>
    <w:r w:rsidRPr="006E0078">
      <w:rPr>
        <w:lang w:val="fr-CH"/>
      </w:rPr>
      <w:instrText xml:space="preserve"> FILENAME \p  \* MERGEFORMAT </w:instrText>
    </w:r>
    <w:r>
      <w:fldChar w:fldCharType="separate"/>
    </w:r>
    <w:r w:rsidR="004D5BCB">
      <w:rPr>
        <w:noProof/>
        <w:lang w:val="fr-CH"/>
      </w:rPr>
      <w:t>P:\ESP\ITU-T\CONF-T\WTSA20\000\036ADD33S.docx</w:t>
    </w:r>
    <w:r>
      <w:fldChar w:fldCharType="end"/>
    </w:r>
    <w:r w:rsidRPr="006E0078">
      <w:rPr>
        <w:lang w:val="fr-CH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DD5193">
      <w:rPr>
        <w:noProof/>
      </w:rPr>
      <w:t>10.02.22</w:t>
    </w:r>
    <w:r>
      <w:fldChar w:fldCharType="end"/>
    </w:r>
    <w:r w:rsidRPr="006E0078">
      <w:rPr>
        <w:lang w:val="fr-CH"/>
      </w:rPr>
      <w:tab/>
    </w:r>
    <w:r>
      <w:fldChar w:fldCharType="begin"/>
    </w:r>
    <w:r>
      <w:instrText xml:space="preserve"> PRINTDATE \@ DD.MM.YY </w:instrText>
    </w:r>
    <w:r>
      <w:fldChar w:fldCharType="separate"/>
    </w:r>
    <w:r w:rsidR="004D5BCB">
      <w:rPr>
        <w:noProof/>
      </w:rPr>
      <w:t>10.02.22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3A7010" w14:textId="307967DE" w:rsidR="0077084A" w:rsidRPr="004D5BCB" w:rsidRDefault="0077084A" w:rsidP="00FC3528">
    <w:pPr>
      <w:pStyle w:val="Footer"/>
      <w:ind w:right="360"/>
      <w:rPr>
        <w:lang w:val="fr-FR"/>
      </w:rPr>
    </w:pPr>
    <w:r>
      <w:fldChar w:fldCharType="begin"/>
    </w:r>
    <w:r w:rsidRPr="004D5BCB">
      <w:rPr>
        <w:lang w:val="fr-FR"/>
      </w:rPr>
      <w:instrText xml:space="preserve"> FILENAME \p  \* MERGEFORMAT </w:instrText>
    </w:r>
    <w:r>
      <w:fldChar w:fldCharType="separate"/>
    </w:r>
    <w:r w:rsidR="004D5BCB">
      <w:rPr>
        <w:lang w:val="fr-FR"/>
      </w:rPr>
      <w:t>P:\ESP\ITU-T\CONF-T\WTSA20\000\036ADD33S.docx</w:t>
    </w:r>
    <w:r>
      <w:fldChar w:fldCharType="end"/>
    </w:r>
    <w:r w:rsidR="00E159BE" w:rsidRPr="004D5BCB">
      <w:rPr>
        <w:lang w:val="fr-FR"/>
      </w:rPr>
      <w:t xml:space="preserve"> (501530)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E461A8" w14:textId="5A27AF4F" w:rsidR="00E83D45" w:rsidRPr="004D5BCB" w:rsidRDefault="002811D1" w:rsidP="00B27A48">
    <w:pPr>
      <w:pStyle w:val="Footer"/>
      <w:rPr>
        <w:lang w:val="fr-FR"/>
      </w:rPr>
    </w:pPr>
    <w:r>
      <w:fldChar w:fldCharType="begin"/>
    </w:r>
    <w:r w:rsidRPr="004D5BCB">
      <w:rPr>
        <w:lang w:val="fr-FR"/>
      </w:rPr>
      <w:instrText xml:space="preserve"> FILENAME \p  \* MERGEFORMAT </w:instrText>
    </w:r>
    <w:r>
      <w:fldChar w:fldCharType="separate"/>
    </w:r>
    <w:r w:rsidR="004D5BCB">
      <w:rPr>
        <w:lang w:val="fr-FR"/>
      </w:rPr>
      <w:t>P:\ESP\ITU-T\CONF-T\WTSA20\000\036ADD33S.docx</w:t>
    </w:r>
    <w:r>
      <w:fldChar w:fldCharType="end"/>
    </w:r>
    <w:r w:rsidR="00B27A48" w:rsidRPr="004D5BCB">
      <w:rPr>
        <w:lang w:val="fr-FR"/>
      </w:rPr>
      <w:t xml:space="preserve"> (501530)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71E571" w14:textId="77777777" w:rsidR="00FC241D" w:rsidRDefault="00FC241D">
      <w:r>
        <w:rPr>
          <w:b/>
        </w:rPr>
        <w:t>_______________</w:t>
      </w:r>
    </w:p>
  </w:footnote>
  <w:footnote w:type="continuationSeparator" w:id="0">
    <w:p w14:paraId="1EF13ABE" w14:textId="77777777" w:rsidR="00FC241D" w:rsidRDefault="00FC241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4430A8" w14:textId="57D8F401" w:rsidR="00E83D45" w:rsidRDefault="00E83D45" w:rsidP="00E83D45">
    <w:pPr>
      <w:pStyle w:val="Header"/>
    </w:pPr>
    <w:r>
      <w:fldChar w:fldCharType="begin"/>
    </w:r>
    <w:r>
      <w:instrText xml:space="preserve"> PAGE  \* MERGEFORMAT </w:instrText>
    </w:r>
    <w:r>
      <w:fldChar w:fldCharType="separate"/>
    </w:r>
    <w:r w:rsidR="00FB62CA">
      <w:rPr>
        <w:noProof/>
      </w:rPr>
      <w:t>3</w:t>
    </w:r>
    <w:r>
      <w:fldChar w:fldCharType="end"/>
    </w:r>
  </w:p>
  <w:p w14:paraId="3F0B9405" w14:textId="47049052" w:rsidR="00E83D45" w:rsidRPr="00C72D5C" w:rsidRDefault="00B27A48" w:rsidP="00E83D45">
    <w:pPr>
      <w:pStyle w:val="Header"/>
    </w:pPr>
    <w:r>
      <w:t>Addéndum</w:t>
    </w:r>
    <w:r w:rsidR="00B42790">
      <w:t xml:space="preserve"> 33 al</w:t>
    </w:r>
    <w:r w:rsidR="00B42790">
      <w:br/>
      <w:t>Documento 36-S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1CA340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11FC519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A8C96E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B09618A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047C43E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82EFAB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0AE6C6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BE8B48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5438658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EEC469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B39284A0"/>
    <w:lvl w:ilvl="0">
      <w:numFmt w:val="decimal"/>
      <w:lvlText w:val="*"/>
      <w:lvlJc w:val="left"/>
    </w:lvl>
  </w:abstractNum>
  <w:num w:numId="1">
    <w:abstractNumId w:val="8"/>
  </w:num>
  <w:num w:numId="2">
    <w:abstractNumId w:val="1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9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displayBackgroundShape/>
  <w:printFractionalCharacterWidth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formatting="1" w:enforcement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017B"/>
    <w:rsid w:val="000121A4"/>
    <w:rsid w:val="00023137"/>
    <w:rsid w:val="0002785D"/>
    <w:rsid w:val="00031376"/>
    <w:rsid w:val="00037958"/>
    <w:rsid w:val="00057296"/>
    <w:rsid w:val="00087AE8"/>
    <w:rsid w:val="00092AB3"/>
    <w:rsid w:val="000A5B9A"/>
    <w:rsid w:val="000C7758"/>
    <w:rsid w:val="000E5BF9"/>
    <w:rsid w:val="000E5EE9"/>
    <w:rsid w:val="000F0E6D"/>
    <w:rsid w:val="00120191"/>
    <w:rsid w:val="00121170"/>
    <w:rsid w:val="00123CC5"/>
    <w:rsid w:val="0012448A"/>
    <w:rsid w:val="00143382"/>
    <w:rsid w:val="00147BE5"/>
    <w:rsid w:val="0015142D"/>
    <w:rsid w:val="0015324C"/>
    <w:rsid w:val="00156141"/>
    <w:rsid w:val="001562B8"/>
    <w:rsid w:val="001616DC"/>
    <w:rsid w:val="00163962"/>
    <w:rsid w:val="00191A97"/>
    <w:rsid w:val="00195A73"/>
    <w:rsid w:val="001A083F"/>
    <w:rsid w:val="001C41FA"/>
    <w:rsid w:val="001D380F"/>
    <w:rsid w:val="001D440E"/>
    <w:rsid w:val="001D4E54"/>
    <w:rsid w:val="001E2B52"/>
    <w:rsid w:val="001E3F27"/>
    <w:rsid w:val="001F20F0"/>
    <w:rsid w:val="0021371A"/>
    <w:rsid w:val="002337D9"/>
    <w:rsid w:val="00236D2A"/>
    <w:rsid w:val="00255F12"/>
    <w:rsid w:val="00262C09"/>
    <w:rsid w:val="00263815"/>
    <w:rsid w:val="0028017B"/>
    <w:rsid w:val="002811D1"/>
    <w:rsid w:val="00286495"/>
    <w:rsid w:val="002A791F"/>
    <w:rsid w:val="002C1B26"/>
    <w:rsid w:val="002C79B8"/>
    <w:rsid w:val="002E5627"/>
    <w:rsid w:val="002E701F"/>
    <w:rsid w:val="00302FE1"/>
    <w:rsid w:val="00305FD9"/>
    <w:rsid w:val="003237B0"/>
    <w:rsid w:val="003248A9"/>
    <w:rsid w:val="00324FFA"/>
    <w:rsid w:val="0032680B"/>
    <w:rsid w:val="00363A65"/>
    <w:rsid w:val="00377EC9"/>
    <w:rsid w:val="00385977"/>
    <w:rsid w:val="003B1E8C"/>
    <w:rsid w:val="003C2508"/>
    <w:rsid w:val="003D0AA3"/>
    <w:rsid w:val="004104AC"/>
    <w:rsid w:val="00454553"/>
    <w:rsid w:val="00476FB2"/>
    <w:rsid w:val="004B124A"/>
    <w:rsid w:val="004B520A"/>
    <w:rsid w:val="004C3636"/>
    <w:rsid w:val="004C3A5A"/>
    <w:rsid w:val="004D5BCB"/>
    <w:rsid w:val="00507C36"/>
    <w:rsid w:val="0051705A"/>
    <w:rsid w:val="00523269"/>
    <w:rsid w:val="00532097"/>
    <w:rsid w:val="00566BEE"/>
    <w:rsid w:val="0058350F"/>
    <w:rsid w:val="00596605"/>
    <w:rsid w:val="005A374D"/>
    <w:rsid w:val="005A674F"/>
    <w:rsid w:val="005C475F"/>
    <w:rsid w:val="005E782D"/>
    <w:rsid w:val="005F1AA7"/>
    <w:rsid w:val="005F2605"/>
    <w:rsid w:val="00646147"/>
    <w:rsid w:val="00662039"/>
    <w:rsid w:val="00662BA0"/>
    <w:rsid w:val="00681766"/>
    <w:rsid w:val="00692AAE"/>
    <w:rsid w:val="006B0F54"/>
    <w:rsid w:val="006D6E67"/>
    <w:rsid w:val="006E0078"/>
    <w:rsid w:val="006E1A13"/>
    <w:rsid w:val="006E76B9"/>
    <w:rsid w:val="00701C20"/>
    <w:rsid w:val="00702F3D"/>
    <w:rsid w:val="0070518E"/>
    <w:rsid w:val="00734034"/>
    <w:rsid w:val="007354E9"/>
    <w:rsid w:val="00765578"/>
    <w:rsid w:val="0077084A"/>
    <w:rsid w:val="00776E3D"/>
    <w:rsid w:val="00786250"/>
    <w:rsid w:val="00790506"/>
    <w:rsid w:val="007952C7"/>
    <w:rsid w:val="007B1F00"/>
    <w:rsid w:val="007C2317"/>
    <w:rsid w:val="007C39FA"/>
    <w:rsid w:val="007D330A"/>
    <w:rsid w:val="007E5A28"/>
    <w:rsid w:val="007E667F"/>
    <w:rsid w:val="008234A1"/>
    <w:rsid w:val="00866AE6"/>
    <w:rsid w:val="00866BBD"/>
    <w:rsid w:val="00873B75"/>
    <w:rsid w:val="008750A8"/>
    <w:rsid w:val="00894DCB"/>
    <w:rsid w:val="008C0C52"/>
    <w:rsid w:val="008E35DA"/>
    <w:rsid w:val="008E4453"/>
    <w:rsid w:val="0090121B"/>
    <w:rsid w:val="009144C9"/>
    <w:rsid w:val="00916196"/>
    <w:rsid w:val="00933AE3"/>
    <w:rsid w:val="0094091F"/>
    <w:rsid w:val="0094505C"/>
    <w:rsid w:val="00973754"/>
    <w:rsid w:val="0097673E"/>
    <w:rsid w:val="00990278"/>
    <w:rsid w:val="009A137D"/>
    <w:rsid w:val="009A1AA3"/>
    <w:rsid w:val="009B0563"/>
    <w:rsid w:val="009C0BED"/>
    <w:rsid w:val="009E11EC"/>
    <w:rsid w:val="009F6A67"/>
    <w:rsid w:val="00A118DB"/>
    <w:rsid w:val="00A24AC0"/>
    <w:rsid w:val="00A4450C"/>
    <w:rsid w:val="00A54CB2"/>
    <w:rsid w:val="00A55F2D"/>
    <w:rsid w:val="00AA1D6C"/>
    <w:rsid w:val="00AA5E6C"/>
    <w:rsid w:val="00AB4E90"/>
    <w:rsid w:val="00AC717A"/>
    <w:rsid w:val="00AD5359"/>
    <w:rsid w:val="00AE5677"/>
    <w:rsid w:val="00AE658F"/>
    <w:rsid w:val="00AF2F78"/>
    <w:rsid w:val="00B07178"/>
    <w:rsid w:val="00B1727C"/>
    <w:rsid w:val="00B173B3"/>
    <w:rsid w:val="00B257B2"/>
    <w:rsid w:val="00B27A48"/>
    <w:rsid w:val="00B42790"/>
    <w:rsid w:val="00B51263"/>
    <w:rsid w:val="00B5249D"/>
    <w:rsid w:val="00B52D55"/>
    <w:rsid w:val="00B61807"/>
    <w:rsid w:val="00B627DD"/>
    <w:rsid w:val="00B75455"/>
    <w:rsid w:val="00B8288C"/>
    <w:rsid w:val="00B9677E"/>
    <w:rsid w:val="00BD5FE4"/>
    <w:rsid w:val="00BE2E80"/>
    <w:rsid w:val="00BE5EDD"/>
    <w:rsid w:val="00BE6A1F"/>
    <w:rsid w:val="00C126C4"/>
    <w:rsid w:val="00C25B5B"/>
    <w:rsid w:val="00C614DC"/>
    <w:rsid w:val="00C63EB5"/>
    <w:rsid w:val="00C72410"/>
    <w:rsid w:val="00C858D0"/>
    <w:rsid w:val="00CA1F40"/>
    <w:rsid w:val="00CB35C9"/>
    <w:rsid w:val="00CC01E0"/>
    <w:rsid w:val="00CD1851"/>
    <w:rsid w:val="00CD5FEE"/>
    <w:rsid w:val="00CD663E"/>
    <w:rsid w:val="00CE60D2"/>
    <w:rsid w:val="00CF0F94"/>
    <w:rsid w:val="00D0288A"/>
    <w:rsid w:val="00D56781"/>
    <w:rsid w:val="00D72A5D"/>
    <w:rsid w:val="00DC629B"/>
    <w:rsid w:val="00DD5193"/>
    <w:rsid w:val="00E05BFF"/>
    <w:rsid w:val="00E159BE"/>
    <w:rsid w:val="00E15DB5"/>
    <w:rsid w:val="00E21778"/>
    <w:rsid w:val="00E262F1"/>
    <w:rsid w:val="00E32BEE"/>
    <w:rsid w:val="00E47B44"/>
    <w:rsid w:val="00E71D14"/>
    <w:rsid w:val="00E8097C"/>
    <w:rsid w:val="00E83D45"/>
    <w:rsid w:val="00E91D30"/>
    <w:rsid w:val="00E94A4A"/>
    <w:rsid w:val="00EA224B"/>
    <w:rsid w:val="00EC2A19"/>
    <w:rsid w:val="00EE1779"/>
    <w:rsid w:val="00EF0D6D"/>
    <w:rsid w:val="00F0220A"/>
    <w:rsid w:val="00F02C63"/>
    <w:rsid w:val="00F247BB"/>
    <w:rsid w:val="00F26F4E"/>
    <w:rsid w:val="00F54E0E"/>
    <w:rsid w:val="00F606A0"/>
    <w:rsid w:val="00F62AB3"/>
    <w:rsid w:val="00F63177"/>
    <w:rsid w:val="00F66597"/>
    <w:rsid w:val="00F7212F"/>
    <w:rsid w:val="00F8150C"/>
    <w:rsid w:val="00FB62CA"/>
    <w:rsid w:val="00FC241D"/>
    <w:rsid w:val="00FC3528"/>
    <w:rsid w:val="00FD5B74"/>
    <w:rsid w:val="00FD5C8C"/>
    <w:rsid w:val="00FE161E"/>
    <w:rsid w:val="00FE20EC"/>
    <w:rsid w:val="00FE4574"/>
    <w:rsid w:val="00FF0475"/>
    <w:rsid w:val="00FF40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7"/>
    <o:shapelayout v:ext="edit">
      <o:idmap v:ext="edit" data="1"/>
    </o:shapelayout>
  </w:shapeDefaults>
  <w:decimalSymbol w:val=","/>
  <w:listSeparator w:val=";"/>
  <w14:docId w14:val="24A9B1E8"/>
  <w15:docId w15:val="{304D50CB-01AA-45EF-BBE4-6680C52391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Times New Roma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A1D6C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es-ES_tradnl" w:eastAsia="en-US"/>
    </w:rPr>
  </w:style>
  <w:style w:type="paragraph" w:styleId="Heading1">
    <w:name w:val="heading 1"/>
    <w:basedOn w:val="Normal"/>
    <w:next w:val="Normal"/>
    <w:qFormat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pPr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pPr>
      <w:outlineLvl w:val="3"/>
    </w:pPr>
  </w:style>
  <w:style w:type="paragraph" w:styleId="Heading5">
    <w:name w:val="heading 5"/>
    <w:basedOn w:val="Heading4"/>
    <w:next w:val="Normal"/>
    <w:qFormat/>
    <w:pPr>
      <w:outlineLvl w:val="4"/>
    </w:pPr>
  </w:style>
  <w:style w:type="paragraph" w:styleId="Heading6">
    <w:name w:val="heading 6"/>
    <w:basedOn w:val="Heading4"/>
    <w:next w:val="Normal"/>
    <w:qFormat/>
    <w:pPr>
      <w:outlineLvl w:val="5"/>
    </w:pPr>
  </w:style>
  <w:style w:type="paragraph" w:styleId="Heading7">
    <w:name w:val="heading 7"/>
    <w:basedOn w:val="Heading6"/>
    <w:next w:val="Normal"/>
    <w:qFormat/>
    <w:pPr>
      <w:outlineLvl w:val="6"/>
    </w:pPr>
  </w:style>
  <w:style w:type="paragraph" w:styleId="Heading8">
    <w:name w:val="heading 8"/>
    <w:basedOn w:val="Heading6"/>
    <w:next w:val="Normal"/>
    <w:qFormat/>
    <w:pPr>
      <w:outlineLvl w:val="7"/>
    </w:pPr>
  </w:style>
  <w:style w:type="paragraph" w:styleId="Heading9">
    <w:name w:val="heading 9"/>
    <w:basedOn w:val="Heading6"/>
    <w:next w:val="Normal"/>
    <w:qFormat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nnexNo">
    <w:name w:val="Annex_No"/>
    <w:basedOn w:val="Normal"/>
    <w:next w:val="Annexref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Annextitle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aftertitle"/>
    <w:pPr>
      <w:keepNext/>
      <w:keepLines/>
      <w:spacing w:before="240" w:after="280"/>
      <w:jc w:val="center"/>
    </w:pPr>
    <w:rPr>
      <w:rFonts w:ascii="Times New Roman Bold" w:hAnsi="Times New Roman Bold"/>
      <w:b/>
      <w:sz w:val="28"/>
    </w:rPr>
  </w:style>
  <w:style w:type="paragraph" w:customStyle="1" w:styleId="AppendixNo">
    <w:name w:val="Appendix_No"/>
    <w:basedOn w:val="AnnexNo"/>
    <w:next w:val="Annexref"/>
  </w:style>
  <w:style w:type="paragraph" w:customStyle="1" w:styleId="Appendixref">
    <w:name w:val="Appendix_ref"/>
    <w:basedOn w:val="Annexref"/>
    <w:next w:val="Annextitle"/>
  </w:style>
  <w:style w:type="paragraph" w:customStyle="1" w:styleId="Appendixtitle">
    <w:name w:val="Appendix_title"/>
    <w:basedOn w:val="Annextitle"/>
    <w:next w:val="Normalaftertitle"/>
  </w:style>
  <w:style w:type="paragraph" w:customStyle="1" w:styleId="Call">
    <w:name w:val="Call"/>
    <w:basedOn w:val="Normal"/>
    <w:next w:val="Normal"/>
    <w:link w:val="CallChar"/>
    <w:rsid w:val="00894DCB"/>
    <w:pPr>
      <w:keepNext/>
      <w:keepLines/>
      <w:spacing w:before="160"/>
      <w:ind w:left="794"/>
    </w:pPr>
    <w:rPr>
      <w:i/>
    </w:rPr>
  </w:style>
  <w:style w:type="paragraph" w:customStyle="1" w:styleId="ChapNo">
    <w:name w:val="Chap_No"/>
    <w:basedOn w:val="Normal"/>
    <w:next w:val="Chaptitle"/>
    <w:rsid w:val="00B75455"/>
    <w:pPr>
      <w:keepNext/>
      <w:keepLines/>
      <w:spacing w:before="480"/>
      <w:jc w:val="center"/>
    </w:pPr>
    <w:rPr>
      <w:rFonts w:ascii="Times New Roman Bold" w:hAnsi="Times New Roman Bold"/>
      <w:b/>
      <w:caps/>
      <w:sz w:val="28"/>
    </w:rPr>
  </w:style>
  <w:style w:type="paragraph" w:customStyle="1" w:styleId="Chaptitle">
    <w:name w:val="Chap_title"/>
    <w:basedOn w:val="Normal"/>
    <w:next w:val="Normalaftertitle"/>
    <w:rsid w:val="00B75455"/>
    <w:pPr>
      <w:keepNext/>
      <w:keepLines/>
      <w:spacing w:before="240"/>
      <w:jc w:val="center"/>
    </w:pPr>
    <w:rPr>
      <w:b/>
      <w:sz w:val="28"/>
    </w:rPr>
  </w:style>
  <w:style w:type="character" w:styleId="EndnoteReference">
    <w:name w:val="endnote reference"/>
    <w:basedOn w:val="DefaultParagraphFont"/>
    <w:semiHidden/>
    <w:rPr>
      <w:vertAlign w:val="superscript"/>
    </w:rPr>
  </w:style>
  <w:style w:type="paragraph" w:customStyle="1" w:styleId="enumlev1">
    <w:name w:val="enumlev1"/>
    <w:basedOn w:val="Normal"/>
    <w:rsid w:val="00894DCB"/>
    <w:pPr>
      <w:tabs>
        <w:tab w:val="left" w:pos="2608"/>
        <w:tab w:val="left" w:pos="3345"/>
      </w:tabs>
      <w:spacing w:before="80"/>
      <w:ind w:left="794" w:hanging="794"/>
    </w:pPr>
  </w:style>
  <w:style w:type="paragraph" w:customStyle="1" w:styleId="enumlev2">
    <w:name w:val="enumlev2"/>
    <w:basedOn w:val="enumlev1"/>
    <w:rsid w:val="00894DCB"/>
    <w:pPr>
      <w:ind w:left="1191" w:hanging="397"/>
    </w:pPr>
  </w:style>
  <w:style w:type="paragraph" w:customStyle="1" w:styleId="enumlev3">
    <w:name w:val="enumlev3"/>
    <w:basedOn w:val="enumlev2"/>
    <w:rsid w:val="00894DCB"/>
    <w:pPr>
      <w:ind w:left="1588"/>
    </w:pPr>
  </w:style>
  <w:style w:type="paragraph" w:customStyle="1" w:styleId="Equation">
    <w:name w:val="Equation"/>
    <w:basedOn w:val="Normal"/>
    <w:pPr>
      <w:tabs>
        <w:tab w:val="center" w:pos="4820"/>
        <w:tab w:val="right" w:pos="9639"/>
      </w:tabs>
    </w:pPr>
  </w:style>
  <w:style w:type="paragraph" w:styleId="NormalIndent">
    <w:name w:val="Normal Indent"/>
    <w:basedOn w:val="Normal"/>
    <w:pPr>
      <w:ind w:left="1134"/>
    </w:pPr>
  </w:style>
  <w:style w:type="paragraph" w:customStyle="1" w:styleId="Equationlegend">
    <w:name w:val="Equation_legend"/>
    <w:basedOn w:val="NormalIndent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Figuretitle"/>
    <w:rsid w:val="00916196"/>
    <w:pPr>
      <w:keepNext/>
      <w:keepLines/>
      <w:spacing w:before="480" w:after="120"/>
      <w:jc w:val="center"/>
    </w:pPr>
    <w:rPr>
      <w:caps/>
    </w:rPr>
  </w:style>
  <w:style w:type="paragraph" w:customStyle="1" w:styleId="Figuretitle">
    <w:name w:val="Figure_title"/>
    <w:basedOn w:val="Normal"/>
    <w:next w:val="Normal"/>
    <w:rsid w:val="00B627DD"/>
    <w:pPr>
      <w:spacing w:after="480"/>
      <w:jc w:val="center"/>
    </w:pPr>
    <w:rPr>
      <w:b/>
    </w:rPr>
  </w:style>
  <w:style w:type="paragraph" w:customStyle="1" w:styleId="Figurewithouttitle">
    <w:name w:val="Figure_without_title"/>
    <w:basedOn w:val="FigureNo"/>
    <w:next w:val="Normal"/>
    <w:pPr>
      <w:keepNext w:val="0"/>
    </w:pPr>
  </w:style>
  <w:style w:type="paragraph" w:styleId="Footer">
    <w:name w:val="footer"/>
    <w:basedOn w:val="Normal"/>
    <w:link w:val="FooterChar"/>
    <w:pPr>
      <w:tabs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rPr>
      <w:position w:val="6"/>
      <w:sz w:val="18"/>
    </w:rPr>
  </w:style>
  <w:style w:type="paragraph" w:styleId="FootnoteText">
    <w:name w:val="footnote text"/>
    <w:basedOn w:val="Normal"/>
    <w:pPr>
      <w:keepLines/>
      <w:tabs>
        <w:tab w:val="left" w:pos="255"/>
      </w:tabs>
    </w:pPr>
  </w:style>
  <w:style w:type="paragraph" w:styleId="Header">
    <w:name w:val="header"/>
    <w:basedOn w:val="Normal"/>
    <w:link w:val="HeaderChar"/>
    <w:pPr>
      <w:spacing w:before="0"/>
      <w:jc w:val="center"/>
    </w:pPr>
    <w:rPr>
      <w:sz w:val="18"/>
    </w:rPr>
  </w:style>
  <w:style w:type="paragraph" w:customStyle="1" w:styleId="Headingb">
    <w:name w:val="Heading_b"/>
    <w:basedOn w:val="Normal"/>
    <w:next w:val="Normal"/>
    <w:rsid w:val="00C858D0"/>
    <w:pPr>
      <w:keepNext/>
      <w:spacing w:before="160"/>
    </w:pPr>
    <w:rPr>
      <w:rFonts w:ascii="Times" w:hAnsi="Times"/>
      <w:b/>
    </w:rPr>
  </w:style>
  <w:style w:type="paragraph" w:customStyle="1" w:styleId="Headingi">
    <w:name w:val="Heading_i"/>
    <w:basedOn w:val="Normal"/>
    <w:next w:val="Normal"/>
    <w:pPr>
      <w:keepNext/>
      <w:spacing w:before="160"/>
    </w:pPr>
    <w:rPr>
      <w:rFonts w:ascii="Times" w:hAnsi="Times"/>
      <w:i/>
    </w:rPr>
  </w:style>
  <w:style w:type="paragraph" w:customStyle="1" w:styleId="Normalaftertitle">
    <w:name w:val="Normal after title"/>
    <w:basedOn w:val="Normal"/>
    <w:next w:val="Normal"/>
    <w:pPr>
      <w:spacing w:before="280"/>
    </w:pPr>
  </w:style>
  <w:style w:type="paragraph" w:customStyle="1" w:styleId="Note">
    <w:name w:val="Note"/>
    <w:basedOn w:val="Normal"/>
    <w:pPr>
      <w:tabs>
        <w:tab w:val="left" w:pos="284"/>
      </w:tabs>
      <w:spacing w:before="80"/>
    </w:pPr>
  </w:style>
  <w:style w:type="paragraph" w:customStyle="1" w:styleId="PartNo">
    <w:name w:val="Part_No"/>
    <w:basedOn w:val="AnnexNo"/>
    <w:next w:val="Normal"/>
  </w:style>
  <w:style w:type="paragraph" w:customStyle="1" w:styleId="Parttitle">
    <w:name w:val="Part_title"/>
    <w:basedOn w:val="Annextitle"/>
    <w:next w:val="Normalaftertitle"/>
  </w:style>
  <w:style w:type="paragraph" w:customStyle="1" w:styleId="RecNo">
    <w:name w:val="Rec_No"/>
    <w:basedOn w:val="Normal"/>
    <w:next w:val="Rectitle"/>
    <w:rsid w:val="00BD5FE4"/>
    <w:pPr>
      <w:keepNext/>
      <w:keepLines/>
      <w:spacing w:before="480"/>
    </w:pPr>
    <w:rPr>
      <w:rFonts w:ascii="Times New Roman Bold" w:hAnsi="Times New Roman Bold" w:cs="Times New Roman Bold"/>
      <w:b/>
      <w:sz w:val="28"/>
    </w:rPr>
  </w:style>
  <w:style w:type="paragraph" w:customStyle="1" w:styleId="Rectitle">
    <w:name w:val="Rec_title"/>
    <w:basedOn w:val="RecNo"/>
    <w:next w:val="Recref"/>
    <w:rsid w:val="00BD5FE4"/>
    <w:pPr>
      <w:spacing w:before="240"/>
      <w:jc w:val="center"/>
    </w:pPr>
    <w:rPr>
      <w:bCs/>
    </w:rPr>
  </w:style>
  <w:style w:type="paragraph" w:customStyle="1" w:styleId="Recref">
    <w:name w:val="Rec_ref"/>
    <w:basedOn w:val="Rectitle"/>
    <w:next w:val="Recdate"/>
    <w:rsid w:val="00FD5C8C"/>
    <w:pPr>
      <w:spacing w:before="120"/>
    </w:pPr>
    <w:rPr>
      <w:rFonts w:ascii="Times New Roman" w:hAnsi="Times New Roman"/>
      <w:b w:val="0"/>
      <w:i/>
      <w:sz w:val="24"/>
    </w:rPr>
  </w:style>
  <w:style w:type="paragraph" w:customStyle="1" w:styleId="Recdate">
    <w:name w:val="Rec_date"/>
    <w:basedOn w:val="Recref"/>
    <w:next w:val="Normalaftertitle"/>
    <w:rsid w:val="000121A4"/>
  </w:style>
  <w:style w:type="paragraph" w:customStyle="1" w:styleId="Questiondate">
    <w:name w:val="Question_date"/>
    <w:basedOn w:val="Recdate"/>
    <w:next w:val="Normalaftertitle"/>
  </w:style>
  <w:style w:type="paragraph" w:customStyle="1" w:styleId="QuestionNo">
    <w:name w:val="Question_No"/>
    <w:basedOn w:val="ResNo"/>
    <w:next w:val="Questiontitle"/>
  </w:style>
  <w:style w:type="paragraph" w:customStyle="1" w:styleId="Questiontitle">
    <w:name w:val="Question_title"/>
    <w:basedOn w:val="Rectitle"/>
    <w:next w:val="Normal"/>
  </w:style>
  <w:style w:type="paragraph" w:customStyle="1" w:styleId="Resdate">
    <w:name w:val="Res_date"/>
    <w:basedOn w:val="Recdate"/>
    <w:next w:val="Normalaftertitle"/>
  </w:style>
  <w:style w:type="paragraph" w:customStyle="1" w:styleId="ResNo">
    <w:name w:val="Res_No"/>
    <w:basedOn w:val="Normal"/>
    <w:next w:val="Normal"/>
    <w:link w:val="ResNoChar"/>
    <w:rsid w:val="00E8097C"/>
    <w:pPr>
      <w:spacing w:before="480"/>
      <w:jc w:val="center"/>
    </w:pPr>
    <w:rPr>
      <w:caps/>
      <w:sz w:val="28"/>
    </w:rPr>
  </w:style>
  <w:style w:type="paragraph" w:customStyle="1" w:styleId="Resref">
    <w:name w:val="Res_ref"/>
    <w:basedOn w:val="Recref"/>
    <w:next w:val="Resdate"/>
  </w:style>
  <w:style w:type="character" w:customStyle="1" w:styleId="Resdef">
    <w:name w:val="Res_def"/>
    <w:basedOn w:val="DefaultParagraphFont"/>
    <w:rPr>
      <w:rFonts w:ascii="Times New Roman" w:hAnsi="Times New Roman"/>
      <w:b/>
    </w:rPr>
  </w:style>
  <w:style w:type="character" w:styleId="PageNumber">
    <w:name w:val="page number"/>
    <w:basedOn w:val="DefaultParagraphFont"/>
  </w:style>
  <w:style w:type="paragraph" w:customStyle="1" w:styleId="Reasons">
    <w:name w:val="Reasons"/>
    <w:basedOn w:val="Normal"/>
    <w:qFormat/>
  </w:style>
  <w:style w:type="paragraph" w:customStyle="1" w:styleId="Proposal">
    <w:name w:val="Proposal"/>
    <w:basedOn w:val="Normal"/>
    <w:next w:val="Normal"/>
    <w:rsid w:val="00894DCB"/>
    <w:pPr>
      <w:keepNext/>
      <w:tabs>
        <w:tab w:val="clear" w:pos="794"/>
        <w:tab w:val="clear" w:pos="1191"/>
        <w:tab w:val="clear" w:pos="1588"/>
        <w:tab w:val="clear" w:pos="1985"/>
        <w:tab w:val="left" w:pos="1134"/>
      </w:tabs>
      <w:spacing w:before="240"/>
    </w:pPr>
    <w:rPr>
      <w:rFonts w:hAnsi="Times New Roman Bold"/>
      <w:b/>
    </w:rPr>
  </w:style>
  <w:style w:type="paragraph" w:customStyle="1" w:styleId="Figure">
    <w:name w:val="Figure"/>
    <w:basedOn w:val="Normal"/>
    <w:next w:val="Figuretitle"/>
    <w:pPr>
      <w:keepNext/>
      <w:keepLines/>
      <w:jc w:val="center"/>
    </w:pPr>
  </w:style>
  <w:style w:type="paragraph" w:customStyle="1" w:styleId="Agendaitem">
    <w:name w:val="Agenda_item"/>
    <w:basedOn w:val="Normal"/>
    <w:next w:val="Normalaftertitle"/>
    <w:qFormat/>
    <w:rsid w:val="002E701F"/>
    <w:pPr>
      <w:overflowPunct/>
      <w:autoSpaceDE/>
      <w:autoSpaceDN/>
      <w:adjustRightInd/>
      <w:spacing w:before="240"/>
      <w:jc w:val="center"/>
      <w:textAlignment w:val="auto"/>
    </w:pPr>
    <w:rPr>
      <w:sz w:val="28"/>
    </w:rPr>
  </w:style>
  <w:style w:type="paragraph" w:customStyle="1" w:styleId="Part1">
    <w:name w:val="Part_1"/>
    <w:basedOn w:val="Normal"/>
    <w:qFormat/>
    <w:rsid w:val="002E701F"/>
    <w:pPr>
      <w:tabs>
        <w:tab w:val="center" w:pos="4820"/>
      </w:tabs>
      <w:spacing w:before="360"/>
      <w:jc w:val="center"/>
    </w:pPr>
    <w:rPr>
      <w:b/>
    </w:rPr>
  </w:style>
  <w:style w:type="paragraph" w:customStyle="1" w:styleId="Normalend">
    <w:name w:val="Normal_end"/>
    <w:basedOn w:val="Normal"/>
    <w:qFormat/>
    <w:rsid w:val="007C2317"/>
  </w:style>
  <w:style w:type="character" w:customStyle="1" w:styleId="Tablefreq">
    <w:name w:val="Table_freq"/>
    <w:basedOn w:val="DefaultParagraphFont"/>
    <w:rsid w:val="00973754"/>
    <w:rPr>
      <w:b/>
      <w:color w:val="auto"/>
      <w:sz w:val="20"/>
    </w:rPr>
  </w:style>
  <w:style w:type="paragraph" w:customStyle="1" w:styleId="Tabletext">
    <w:name w:val="Table_text"/>
    <w:basedOn w:val="Normal"/>
    <w:rsid w:val="00973754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paragraph" w:customStyle="1" w:styleId="Tablehead">
    <w:name w:val="Table_head"/>
    <w:basedOn w:val="Tabletext"/>
    <w:next w:val="Tabletext"/>
    <w:rsid w:val="00973754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973754"/>
    <w:pPr>
      <w:tabs>
        <w:tab w:val="clear" w:pos="284"/>
      </w:tabs>
      <w:spacing w:before="120"/>
    </w:pPr>
  </w:style>
  <w:style w:type="paragraph" w:customStyle="1" w:styleId="TableNo">
    <w:name w:val="Table_No"/>
    <w:basedOn w:val="Normal"/>
    <w:next w:val="Normal"/>
    <w:rsid w:val="00973754"/>
    <w:pPr>
      <w:keepNext/>
      <w:spacing w:before="560" w:after="120"/>
      <w:jc w:val="center"/>
    </w:pPr>
    <w:rPr>
      <w:caps/>
      <w:sz w:val="20"/>
    </w:rPr>
  </w:style>
  <w:style w:type="paragraph" w:customStyle="1" w:styleId="Tableref">
    <w:name w:val="Table_ref"/>
    <w:basedOn w:val="Normal"/>
    <w:next w:val="Normal"/>
    <w:rsid w:val="00973754"/>
    <w:pPr>
      <w:keepNext/>
      <w:spacing w:before="560"/>
      <w:jc w:val="center"/>
    </w:pPr>
    <w:rPr>
      <w:sz w:val="20"/>
    </w:rPr>
  </w:style>
  <w:style w:type="paragraph" w:customStyle="1" w:styleId="Tabletitle">
    <w:name w:val="Table_title"/>
    <w:basedOn w:val="Normal"/>
    <w:next w:val="Tabletext"/>
    <w:rsid w:val="00973754"/>
    <w:pPr>
      <w:keepNext/>
      <w:keepLines/>
      <w:spacing w:before="0" w:after="120"/>
      <w:jc w:val="center"/>
    </w:pPr>
    <w:rPr>
      <w:rFonts w:ascii="Times New Roman Bold" w:hAnsi="Times New Roman Bold"/>
      <w:b/>
      <w:sz w:val="20"/>
    </w:rPr>
  </w:style>
  <w:style w:type="paragraph" w:customStyle="1" w:styleId="Section1">
    <w:name w:val="Section_1"/>
    <w:basedOn w:val="Normal"/>
    <w:rsid w:val="004B124A"/>
    <w:pPr>
      <w:tabs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4B124A"/>
    <w:rPr>
      <w:b w:val="0"/>
      <w:i/>
    </w:rPr>
  </w:style>
  <w:style w:type="paragraph" w:customStyle="1" w:styleId="Section3">
    <w:name w:val="Section_3"/>
    <w:basedOn w:val="Section1"/>
    <w:rsid w:val="004B124A"/>
    <w:rPr>
      <w:b w:val="0"/>
    </w:rPr>
  </w:style>
  <w:style w:type="paragraph" w:customStyle="1" w:styleId="SectionNo">
    <w:name w:val="Section_No"/>
    <w:basedOn w:val="AnnexNo"/>
    <w:next w:val="Normal"/>
    <w:rsid w:val="004B124A"/>
  </w:style>
  <w:style w:type="paragraph" w:customStyle="1" w:styleId="Sectiontitle">
    <w:name w:val="Section_title"/>
    <w:basedOn w:val="Annextitle"/>
    <w:next w:val="Normalaftertitle"/>
    <w:rsid w:val="004B124A"/>
  </w:style>
  <w:style w:type="paragraph" w:customStyle="1" w:styleId="Source">
    <w:name w:val="Source"/>
    <w:basedOn w:val="Normal"/>
    <w:next w:val="Normal"/>
    <w:rsid w:val="004B124A"/>
    <w:pPr>
      <w:spacing w:before="840"/>
      <w:jc w:val="center"/>
    </w:pPr>
    <w:rPr>
      <w:b/>
      <w:sz w:val="28"/>
    </w:rPr>
  </w:style>
  <w:style w:type="paragraph" w:customStyle="1" w:styleId="Title1">
    <w:name w:val="Title 1"/>
    <w:basedOn w:val="Source"/>
    <w:next w:val="Normal"/>
    <w:rsid w:val="00E262F1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Normal"/>
    <w:rsid w:val="00E262F1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rsid w:val="00E262F1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E262F1"/>
    <w:rPr>
      <w:b/>
    </w:rPr>
  </w:style>
  <w:style w:type="paragraph" w:customStyle="1" w:styleId="toc0">
    <w:name w:val="toc 0"/>
    <w:basedOn w:val="Normal"/>
    <w:next w:val="TOC1"/>
    <w:rsid w:val="00F8150C"/>
    <w:pPr>
      <w:tabs>
        <w:tab w:val="right" w:pos="9781"/>
      </w:tabs>
    </w:pPr>
    <w:rPr>
      <w:b/>
    </w:rPr>
  </w:style>
  <w:style w:type="paragraph" w:styleId="TOC1">
    <w:name w:val="toc 1"/>
    <w:basedOn w:val="Normal"/>
    <w:rsid w:val="00F8150C"/>
    <w:pPr>
      <w:keepLines/>
      <w:tabs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F8150C"/>
    <w:pPr>
      <w:spacing w:before="120"/>
    </w:pPr>
  </w:style>
  <w:style w:type="paragraph" w:styleId="TOC3">
    <w:name w:val="toc 3"/>
    <w:basedOn w:val="TOC2"/>
    <w:rsid w:val="00F8150C"/>
  </w:style>
  <w:style w:type="paragraph" w:styleId="TOC4">
    <w:name w:val="toc 4"/>
    <w:basedOn w:val="TOC3"/>
    <w:rsid w:val="00F8150C"/>
  </w:style>
  <w:style w:type="paragraph" w:styleId="TOC5">
    <w:name w:val="toc 5"/>
    <w:basedOn w:val="TOC4"/>
    <w:rsid w:val="00F8150C"/>
  </w:style>
  <w:style w:type="paragraph" w:styleId="TOC6">
    <w:name w:val="toc 6"/>
    <w:basedOn w:val="TOC4"/>
    <w:rsid w:val="00F8150C"/>
  </w:style>
  <w:style w:type="paragraph" w:styleId="TOC7">
    <w:name w:val="toc 7"/>
    <w:basedOn w:val="TOC4"/>
    <w:rsid w:val="00F8150C"/>
  </w:style>
  <w:style w:type="paragraph" w:styleId="TOC8">
    <w:name w:val="toc 8"/>
    <w:basedOn w:val="TOC4"/>
    <w:rsid w:val="00F8150C"/>
  </w:style>
  <w:style w:type="paragraph" w:customStyle="1" w:styleId="Partref">
    <w:name w:val="Part_ref"/>
    <w:basedOn w:val="Annexref"/>
    <w:next w:val="Parttitle"/>
    <w:rsid w:val="0032680B"/>
  </w:style>
  <w:style w:type="paragraph" w:customStyle="1" w:styleId="Questionref">
    <w:name w:val="Question_ref"/>
    <w:basedOn w:val="Recref"/>
    <w:next w:val="Questiondate"/>
    <w:rsid w:val="006D6E67"/>
  </w:style>
  <w:style w:type="paragraph" w:customStyle="1" w:styleId="Restitle">
    <w:name w:val="Res_title"/>
    <w:basedOn w:val="Rectitle"/>
    <w:next w:val="Resref"/>
    <w:rsid w:val="009E11EC"/>
  </w:style>
  <w:style w:type="paragraph" w:customStyle="1" w:styleId="SpecialFooter">
    <w:name w:val="Special Footer"/>
    <w:basedOn w:val="Footer"/>
    <w:rsid w:val="00262C09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Volumetitle">
    <w:name w:val="Volume_title"/>
    <w:basedOn w:val="Normal"/>
    <w:qFormat/>
    <w:rsid w:val="00305FD9"/>
    <w:pPr>
      <w:keepNext/>
      <w:keepLines/>
      <w:spacing w:before="480"/>
      <w:jc w:val="center"/>
    </w:pPr>
    <w:rPr>
      <w:b/>
      <w:caps/>
      <w:sz w:val="28"/>
    </w:rPr>
  </w:style>
  <w:style w:type="paragraph" w:customStyle="1" w:styleId="Committee">
    <w:name w:val="Committee"/>
    <w:basedOn w:val="Normal"/>
    <w:qFormat/>
    <w:rsid w:val="00E83D45"/>
    <w:pPr>
      <w:framePr w:hSpace="180" w:wrap="around" w:hAnchor="margin" w:y="-675"/>
      <w:tabs>
        <w:tab w:val="left" w:pos="851"/>
      </w:tabs>
      <w:spacing w:before="0" w:line="240" w:lineRule="atLeast"/>
    </w:pPr>
    <w:rPr>
      <w:rFonts w:ascii="Verdana" w:hAnsi="Verdana" w:cstheme="minorHAnsi"/>
      <w:b/>
      <w:sz w:val="20"/>
      <w:szCs w:val="24"/>
      <w:lang w:val="en-GB"/>
    </w:rPr>
  </w:style>
  <w:style w:type="character" w:customStyle="1" w:styleId="ResNoChar">
    <w:name w:val="Res_No Char"/>
    <w:link w:val="ResNo"/>
    <w:rsid w:val="00E8097C"/>
    <w:rPr>
      <w:rFonts w:ascii="Times New Roman" w:hAnsi="Times New Roman"/>
      <w:caps/>
      <w:sz w:val="28"/>
      <w:lang w:val="es-ES_tradnl" w:eastAsia="en-US"/>
    </w:rPr>
  </w:style>
  <w:style w:type="paragraph" w:customStyle="1" w:styleId="Opinionref">
    <w:name w:val="Opinion_ref"/>
    <w:basedOn w:val="Normal"/>
    <w:next w:val="Normalaftertitle"/>
    <w:qFormat/>
    <w:rsid w:val="00E83D45"/>
    <w:pPr>
      <w:overflowPunct/>
      <w:autoSpaceDE/>
      <w:autoSpaceDN/>
      <w:adjustRightInd/>
      <w:spacing w:before="0"/>
      <w:jc w:val="center"/>
      <w:textAlignment w:val="auto"/>
    </w:pPr>
    <w:rPr>
      <w:i/>
      <w:sz w:val="22"/>
      <w:lang w:val="fr-CH"/>
    </w:rPr>
  </w:style>
  <w:style w:type="paragraph" w:customStyle="1" w:styleId="Opiniontitle">
    <w:name w:val="Opinion_title"/>
    <w:basedOn w:val="Restitle"/>
    <w:next w:val="Opinionref"/>
    <w:qFormat/>
    <w:rsid w:val="00E83D45"/>
    <w:rPr>
      <w:lang w:val="en-GB"/>
    </w:rPr>
  </w:style>
  <w:style w:type="paragraph" w:customStyle="1" w:styleId="OpinionNo">
    <w:name w:val="Opinion_No"/>
    <w:basedOn w:val="ResNo"/>
    <w:next w:val="Opiniontitle"/>
    <w:qFormat/>
    <w:rsid w:val="00E83D45"/>
    <w:pPr>
      <w:spacing w:line="280" w:lineRule="exact"/>
    </w:pPr>
  </w:style>
  <w:style w:type="character" w:customStyle="1" w:styleId="HeaderChar">
    <w:name w:val="Header Char"/>
    <w:basedOn w:val="DefaultParagraphFont"/>
    <w:link w:val="Header"/>
    <w:rsid w:val="00E83D45"/>
    <w:rPr>
      <w:rFonts w:ascii="Times New Roman" w:hAnsi="Times New Roman"/>
      <w:sz w:val="18"/>
      <w:lang w:val="es-ES_tradnl" w:eastAsia="en-US"/>
    </w:rPr>
  </w:style>
  <w:style w:type="character" w:customStyle="1" w:styleId="FooterChar">
    <w:name w:val="Footer Char"/>
    <w:basedOn w:val="DefaultParagraphFont"/>
    <w:link w:val="Footer"/>
    <w:rsid w:val="00E83D45"/>
    <w:rPr>
      <w:rFonts w:ascii="Times New Roman" w:hAnsi="Times New Roman"/>
      <w:caps/>
      <w:noProof/>
      <w:sz w:val="16"/>
      <w:lang w:val="es-ES_tradnl" w:eastAsia="en-US"/>
    </w:rPr>
  </w:style>
  <w:style w:type="paragraph" w:customStyle="1" w:styleId="HeadingSummary">
    <w:name w:val="HeadingSummary"/>
    <w:basedOn w:val="Headingb"/>
    <w:qFormat/>
    <w:rsid w:val="00B173B3"/>
    <w:rPr>
      <w:rFonts w:ascii="Times New Roman" w:hAnsi="Times New Roman"/>
    </w:rPr>
  </w:style>
  <w:style w:type="character" w:styleId="PlaceholderText">
    <w:name w:val="Placeholder Text"/>
    <w:basedOn w:val="DefaultParagraphFont"/>
    <w:uiPriority w:val="99"/>
    <w:semiHidden/>
    <w:rsid w:val="006B0F54"/>
    <w:rPr>
      <w:color w:val="808080"/>
    </w:rPr>
  </w:style>
  <w:style w:type="paragraph" w:customStyle="1" w:styleId="DocNumber">
    <w:name w:val="DocNumber"/>
    <w:basedOn w:val="Normal"/>
    <w:rsid w:val="002E5627"/>
    <w:pPr>
      <w:spacing w:before="0"/>
    </w:pPr>
    <w:rPr>
      <w:rFonts w:ascii="Verdana" w:hAnsi="Verdana"/>
      <w:b/>
      <w:sz w:val="20"/>
      <w:lang w:val="en-US"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5F1AA7"/>
    <w:pPr>
      <w:ind w:left="720"/>
      <w:contextualSpacing/>
    </w:pPr>
  </w:style>
  <w:style w:type="character" w:customStyle="1" w:styleId="CallChar">
    <w:name w:val="Call Char"/>
    <w:link w:val="Call"/>
    <w:rsid w:val="005F1AA7"/>
    <w:rPr>
      <w:rFonts w:ascii="Times New Roman" w:hAnsi="Times New Roman"/>
      <w:i/>
      <w:sz w:val="24"/>
      <w:lang w:val="es-ES_tradnl" w:eastAsia="en-US"/>
    </w:rPr>
  </w:style>
  <w:style w:type="character" w:styleId="CommentReference">
    <w:name w:val="annotation reference"/>
    <w:basedOn w:val="DefaultParagraphFont"/>
    <w:semiHidden/>
    <w:unhideWhenUsed/>
    <w:rsid w:val="00AD5359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AD5359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AD5359"/>
    <w:rPr>
      <w:rFonts w:ascii="Times New Roman" w:hAnsi="Times New Roman"/>
      <w:lang w:val="es-ES_tradnl"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AD5359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AD5359"/>
    <w:rPr>
      <w:rFonts w:ascii="Times New Roman" w:hAnsi="Times New Roman"/>
      <w:b/>
      <w:bCs/>
      <w:lang w:val="es-ES_tradnl" w:eastAsia="en-US"/>
    </w:rPr>
  </w:style>
  <w:style w:type="paragraph" w:styleId="Revision">
    <w:name w:val="Revision"/>
    <w:hidden/>
    <w:uiPriority w:val="99"/>
    <w:semiHidden/>
    <w:rsid w:val="00AD5359"/>
    <w:rPr>
      <w:rFonts w:ascii="Times New Roman" w:hAnsi="Times New Roman"/>
      <w:sz w:val="24"/>
      <w:lang w:val="es-ES_tradnl" w:eastAsia="en-US"/>
    </w:rPr>
  </w:style>
  <w:style w:type="paragraph" w:styleId="BalloonText">
    <w:name w:val="Balloon Text"/>
    <w:basedOn w:val="Normal"/>
    <w:link w:val="BalloonTextChar"/>
    <w:semiHidden/>
    <w:unhideWhenUsed/>
    <w:rsid w:val="00AD5359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AD5359"/>
    <w:rPr>
      <w:rFonts w:ascii="Segoe UI" w:hAnsi="Segoe UI" w:cs="Segoe UI"/>
      <w:sz w:val="18"/>
      <w:szCs w:val="18"/>
      <w:lang w:val="es-ES_tradnl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d329a0b7-edf6-40ce-a5ef-62722fe30cb2" targetNamespace="http://schemas.microsoft.com/office/2006/metadata/properties" ma:root="true" ma:fieldsID="d41af5c836d734370eb92e7ee5f83852" ns2:_="" ns3:_="">
    <xsd:import namespace="996b2e75-67fd-4955-a3b0-5ab9934cb50b"/>
    <xsd:import namespace="d329a0b7-edf6-40ce-a5ef-62722fe30cb2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329a0b7-edf6-40ce-a5ef-62722fe30cb2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d329a0b7-edf6-40ce-a5ef-62722fe30cb2">DPM</DPM_x0020_Author>
    <DPM_x0020_File_x0020_name xmlns="d329a0b7-edf6-40ce-a5ef-62722fe30cb2">T17-WTSA.20-C-0036!A33!MSW-S</DPM_x0020_File_x0020_name>
    <DPM_x0020_Version xmlns="d329a0b7-edf6-40ce-a5ef-62722fe30cb2">DPM_2019.11.13.01</DPM_x0020_Version>
  </documentManagement>
</p:properties>
</file>

<file path=customXml/itemProps1.xml><?xml version="1.0" encoding="utf-8"?>
<ds:datastoreItem xmlns:ds="http://schemas.openxmlformats.org/officeDocument/2006/customXml" ds:itemID="{0AF829E2-78C4-4AE9-B0CB-2D4C96A037AB}">
  <ds:schemaRefs>
    <ds:schemaRef ds:uri="http://schemas.microsoft.com/sharepoint/v3/contenttype/forms"/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d329a0b7-edf6-40ce-a5ef-62722fe30cb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B2ACAF3-396B-4813-93F4-DF0F3F1BB248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DF3D58E2-EC10-4DC5-9074-AF807B63C28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329a0b7-edf6-40ce-a5ef-62722fe30cb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3</Pages>
  <Words>771</Words>
  <Characters>4356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T17-WTSA.20-C-0036!A33!MSW-S</vt:lpstr>
    </vt:vector>
  </TitlesOfParts>
  <Manager>Secretaría General - Pool</Manager>
  <Company>International Telecommunication Union (ITU)</Company>
  <LinksUpToDate>false</LinksUpToDate>
  <CharactersWithSpaces>5117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T17-WTSA.20-C-0036!A33!MSW-S</dc:title>
  <dc:subject>World Telecommunication Standardization Assembly</dc:subject>
  <dc:creator>Documents Proposals Manager (DPM)</dc:creator>
  <cp:keywords>DPM_v2022.1.20.1_prod</cp:keywords>
  <dc:description>Template used by DPM and CPI for the WTSA-16</dc:description>
  <cp:lastModifiedBy>Spanish</cp:lastModifiedBy>
  <cp:revision>5</cp:revision>
  <cp:lastPrinted>2022-02-10T13:32:00Z</cp:lastPrinted>
  <dcterms:created xsi:type="dcterms:W3CDTF">2022-02-09T12:58:00Z</dcterms:created>
  <dcterms:modified xsi:type="dcterms:W3CDTF">2022-02-11T12:42:00Z</dcterms:modified>
  <cp:category>Documento de conferencia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PS_WRC07.dot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</Properties>
</file>