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5089" w:type="pct"/>
        <w:tblLook w:val="0000" w:firstRow="0" w:lastRow="0" w:firstColumn="0" w:lastColumn="0" w:noHBand="0" w:noVBand="0"/>
      </w:tblPr>
      <w:tblGrid>
        <w:gridCol w:w="6613"/>
        <w:gridCol w:w="3198"/>
      </w:tblGrid>
      <w:tr w:rsidR="009B0563" w:rsidRPr="00F65089" w14:paraId="21B259A9" w14:textId="77777777" w:rsidTr="009B0563">
        <w:trPr>
          <w:cantSplit/>
        </w:trPr>
        <w:tc>
          <w:tcPr>
            <w:tcW w:w="6613" w:type="dxa"/>
            <w:vAlign w:val="center"/>
          </w:tcPr>
          <w:p w14:paraId="34EEEE2D" w14:textId="77777777" w:rsidR="009B0563" w:rsidRPr="00F65089" w:rsidRDefault="009B0563" w:rsidP="004B520A">
            <w:pPr>
              <w:rPr>
                <w:rFonts w:ascii="Verdana" w:hAnsi="Verdana" w:cs="Times New Roman Bold"/>
                <w:b/>
                <w:bCs/>
                <w:sz w:val="22"/>
                <w:szCs w:val="22"/>
              </w:rPr>
            </w:pPr>
            <w:r w:rsidRPr="00F65089">
              <w:rPr>
                <w:rFonts w:ascii="Verdana" w:hAnsi="Verdana" w:cs="Times New Roman Bold"/>
                <w:b/>
                <w:bCs/>
                <w:sz w:val="22"/>
                <w:szCs w:val="22"/>
              </w:rPr>
              <w:t>Asamblea Mundial de Normalización de las Telecomunicaciones (AMNT-20)</w:t>
            </w:r>
          </w:p>
          <w:p w14:paraId="4D33F622" w14:textId="77777777" w:rsidR="009B0563" w:rsidRPr="00F65089" w:rsidRDefault="00B9677E" w:rsidP="00776E3D">
            <w:pPr>
              <w:spacing w:before="0"/>
              <w:rPr>
                <w:rFonts w:ascii="Verdana" w:hAnsi="Verdana" w:cs="Times New Roman Bold"/>
                <w:b/>
                <w:bCs/>
                <w:sz w:val="19"/>
                <w:szCs w:val="19"/>
              </w:rPr>
            </w:pPr>
            <w:r w:rsidRPr="00F65089">
              <w:rPr>
                <w:rFonts w:ascii="Verdana" w:hAnsi="Verdana" w:cs="Times New Roman Bold"/>
                <w:b/>
                <w:bCs/>
                <w:sz w:val="18"/>
                <w:szCs w:val="18"/>
              </w:rPr>
              <w:t>Ginebra</w:t>
            </w:r>
            <w:r w:rsidR="0094505C" w:rsidRPr="00F65089">
              <w:rPr>
                <w:rFonts w:ascii="Verdana" w:hAnsi="Verdana" w:cs="Times New Roman Bold"/>
                <w:b/>
                <w:bCs/>
                <w:sz w:val="18"/>
                <w:szCs w:val="18"/>
              </w:rPr>
              <w:t>,</w:t>
            </w:r>
            <w:r w:rsidR="00776E3D" w:rsidRPr="00F65089">
              <w:rPr>
                <w:rFonts w:ascii="Verdana" w:hAnsi="Verdana" w:cs="Times New Roman Bold"/>
                <w:b/>
                <w:bCs/>
                <w:sz w:val="18"/>
                <w:szCs w:val="18"/>
              </w:rPr>
              <w:t xml:space="preserve"> </w:t>
            </w:r>
            <w:r w:rsidR="0094505C" w:rsidRPr="00F65089">
              <w:rPr>
                <w:rFonts w:ascii="Verdana" w:hAnsi="Verdana" w:cs="Times New Roman Bold"/>
                <w:b/>
                <w:bCs/>
                <w:sz w:val="18"/>
                <w:szCs w:val="18"/>
              </w:rPr>
              <w:t>1</w:t>
            </w:r>
            <w:r w:rsidR="00776E3D" w:rsidRPr="00F65089">
              <w:rPr>
                <w:rFonts w:ascii="Verdana" w:hAnsi="Verdana" w:cs="Times New Roman Bold"/>
                <w:b/>
                <w:bCs/>
                <w:sz w:val="18"/>
                <w:szCs w:val="18"/>
              </w:rPr>
              <w:t>-</w:t>
            </w:r>
            <w:r w:rsidR="0094505C" w:rsidRPr="00F65089">
              <w:rPr>
                <w:rFonts w:ascii="Verdana" w:hAnsi="Verdana" w:cs="Times New Roman Bold"/>
                <w:b/>
                <w:bCs/>
                <w:sz w:val="18"/>
                <w:szCs w:val="18"/>
              </w:rPr>
              <w:t xml:space="preserve">9 </w:t>
            </w:r>
            <w:r w:rsidR="00776E3D" w:rsidRPr="00F65089">
              <w:rPr>
                <w:rFonts w:ascii="Verdana" w:hAnsi="Verdana" w:cs="Times New Roman Bold"/>
                <w:b/>
                <w:bCs/>
                <w:sz w:val="18"/>
                <w:szCs w:val="18"/>
              </w:rPr>
              <w:t>de marzo de 202</w:t>
            </w:r>
            <w:r w:rsidR="0094505C" w:rsidRPr="00F65089">
              <w:rPr>
                <w:rFonts w:ascii="Verdana" w:hAnsi="Verdana" w:cs="Times New Roman Bold"/>
                <w:b/>
                <w:bCs/>
                <w:sz w:val="18"/>
                <w:szCs w:val="18"/>
              </w:rPr>
              <w:t>2</w:t>
            </w:r>
          </w:p>
        </w:tc>
        <w:tc>
          <w:tcPr>
            <w:tcW w:w="3198" w:type="dxa"/>
            <w:vAlign w:val="center"/>
          </w:tcPr>
          <w:p w14:paraId="5D76629F" w14:textId="77777777" w:rsidR="009B0563" w:rsidRPr="00F65089" w:rsidRDefault="009B0563" w:rsidP="009B0563">
            <w:pPr>
              <w:spacing w:before="0"/>
            </w:pPr>
            <w:r w:rsidRPr="00F65089">
              <w:rPr>
                <w:noProof/>
              </w:rPr>
              <w:drawing>
                <wp:inline distT="0" distB="0" distL="0" distR="0" wp14:anchorId="54E3BF3D" wp14:editId="402C5D8E">
                  <wp:extent cx="682402" cy="720000"/>
                  <wp:effectExtent l="0" t="0" r="3810" b="4445"/>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logo-ITU-RGB-size template.jpg"/>
                          <pic:cNvPicPr/>
                        </pic:nvPicPr>
                        <pic:blipFill>
                          <a:blip r:embed="rId10" cstate="print">
                            <a:extLst>
                              <a:ext uri="{28A0092B-C50C-407E-A947-70E740481C1C}">
                                <a14:useLocalDpi xmlns:a14="http://schemas.microsoft.com/office/drawing/2010/main" val="0"/>
                              </a:ext>
                            </a:extLst>
                          </a:blip>
                          <a:stretch>
                            <a:fillRect/>
                          </a:stretch>
                        </pic:blipFill>
                        <pic:spPr>
                          <a:xfrm>
                            <a:off x="0" y="0"/>
                            <a:ext cx="682402" cy="720000"/>
                          </a:xfrm>
                          <a:prstGeom prst="rect">
                            <a:avLst/>
                          </a:prstGeom>
                        </pic:spPr>
                      </pic:pic>
                    </a:graphicData>
                  </a:graphic>
                </wp:inline>
              </w:drawing>
            </w:r>
          </w:p>
        </w:tc>
      </w:tr>
      <w:tr w:rsidR="00F0220A" w:rsidRPr="00F65089" w14:paraId="1D5E727A" w14:textId="77777777" w:rsidTr="004B520A">
        <w:trPr>
          <w:cantSplit/>
        </w:trPr>
        <w:tc>
          <w:tcPr>
            <w:tcW w:w="6613" w:type="dxa"/>
            <w:tcBorders>
              <w:bottom w:val="single" w:sz="12" w:space="0" w:color="auto"/>
            </w:tcBorders>
          </w:tcPr>
          <w:p w14:paraId="52267173" w14:textId="77777777" w:rsidR="00F0220A" w:rsidRPr="00F65089" w:rsidRDefault="00F0220A" w:rsidP="004B520A">
            <w:pPr>
              <w:spacing w:before="0"/>
            </w:pPr>
          </w:p>
        </w:tc>
        <w:tc>
          <w:tcPr>
            <w:tcW w:w="3198" w:type="dxa"/>
            <w:tcBorders>
              <w:bottom w:val="single" w:sz="12" w:space="0" w:color="auto"/>
            </w:tcBorders>
          </w:tcPr>
          <w:p w14:paraId="27DB2671" w14:textId="77777777" w:rsidR="00F0220A" w:rsidRPr="00F65089" w:rsidRDefault="00F0220A" w:rsidP="004B520A">
            <w:pPr>
              <w:spacing w:before="0"/>
            </w:pPr>
          </w:p>
        </w:tc>
      </w:tr>
      <w:tr w:rsidR="005A374D" w:rsidRPr="00F65089" w14:paraId="19F40B83" w14:textId="77777777" w:rsidTr="004B520A">
        <w:trPr>
          <w:cantSplit/>
        </w:trPr>
        <w:tc>
          <w:tcPr>
            <w:tcW w:w="6613" w:type="dxa"/>
            <w:tcBorders>
              <w:top w:val="single" w:sz="12" w:space="0" w:color="auto"/>
            </w:tcBorders>
          </w:tcPr>
          <w:p w14:paraId="4B5A795A" w14:textId="77777777" w:rsidR="005A374D" w:rsidRPr="00F65089" w:rsidRDefault="005A374D" w:rsidP="004B520A">
            <w:pPr>
              <w:spacing w:before="0"/>
            </w:pPr>
          </w:p>
        </w:tc>
        <w:tc>
          <w:tcPr>
            <w:tcW w:w="3198" w:type="dxa"/>
          </w:tcPr>
          <w:p w14:paraId="68EE5306" w14:textId="77777777" w:rsidR="005A374D" w:rsidRPr="00F65089" w:rsidRDefault="005A374D" w:rsidP="004B520A">
            <w:pPr>
              <w:spacing w:before="0"/>
              <w:rPr>
                <w:rFonts w:ascii="Verdana" w:hAnsi="Verdana"/>
                <w:b/>
                <w:bCs/>
                <w:sz w:val="20"/>
              </w:rPr>
            </w:pPr>
          </w:p>
        </w:tc>
      </w:tr>
      <w:tr w:rsidR="00E83D45" w:rsidRPr="00F65089" w14:paraId="4FB83972" w14:textId="77777777" w:rsidTr="004B520A">
        <w:trPr>
          <w:cantSplit/>
        </w:trPr>
        <w:tc>
          <w:tcPr>
            <w:tcW w:w="6613" w:type="dxa"/>
          </w:tcPr>
          <w:p w14:paraId="426A5D82" w14:textId="77777777" w:rsidR="00E83D45" w:rsidRPr="00F65089" w:rsidRDefault="00E83D45" w:rsidP="004B520A">
            <w:pPr>
              <w:pStyle w:val="Committee"/>
              <w:framePr w:hSpace="0" w:wrap="auto" w:hAnchor="text" w:yAlign="inline"/>
              <w:rPr>
                <w:lang w:val="es-ES_tradnl"/>
              </w:rPr>
            </w:pPr>
            <w:r w:rsidRPr="00F65089">
              <w:rPr>
                <w:lang w:val="es-ES_tradnl"/>
              </w:rPr>
              <w:t>SESIÓN PLENARIA</w:t>
            </w:r>
          </w:p>
        </w:tc>
        <w:tc>
          <w:tcPr>
            <w:tcW w:w="3198" w:type="dxa"/>
          </w:tcPr>
          <w:p w14:paraId="0592118E" w14:textId="77777777" w:rsidR="00E83D45" w:rsidRPr="00F65089" w:rsidRDefault="00E83D45" w:rsidP="002E5627">
            <w:pPr>
              <w:pStyle w:val="DocNumber"/>
              <w:rPr>
                <w:bCs/>
                <w:lang w:val="es-ES_tradnl"/>
              </w:rPr>
            </w:pPr>
            <w:r w:rsidRPr="00F65089">
              <w:rPr>
                <w:lang w:val="es-ES_tradnl"/>
              </w:rPr>
              <w:t>Addéndum 32 al</w:t>
            </w:r>
            <w:r w:rsidRPr="00F65089">
              <w:rPr>
                <w:lang w:val="es-ES_tradnl"/>
              </w:rPr>
              <w:br/>
              <w:t>Documento 36-S</w:t>
            </w:r>
          </w:p>
        </w:tc>
      </w:tr>
      <w:tr w:rsidR="00E83D45" w:rsidRPr="00F65089" w14:paraId="066B32F5" w14:textId="77777777" w:rsidTr="004B520A">
        <w:trPr>
          <w:cantSplit/>
        </w:trPr>
        <w:tc>
          <w:tcPr>
            <w:tcW w:w="6613" w:type="dxa"/>
          </w:tcPr>
          <w:p w14:paraId="6980A17B" w14:textId="77777777" w:rsidR="00E83D45" w:rsidRPr="00F65089" w:rsidRDefault="00E83D45" w:rsidP="004B520A">
            <w:pPr>
              <w:spacing w:before="0" w:after="48"/>
              <w:rPr>
                <w:rFonts w:ascii="Verdana" w:hAnsi="Verdana"/>
                <w:b/>
                <w:smallCaps/>
                <w:sz w:val="20"/>
              </w:rPr>
            </w:pPr>
          </w:p>
        </w:tc>
        <w:tc>
          <w:tcPr>
            <w:tcW w:w="3198" w:type="dxa"/>
          </w:tcPr>
          <w:p w14:paraId="06BFC813" w14:textId="77777777" w:rsidR="00E83D45" w:rsidRPr="00F65089" w:rsidRDefault="00E83D45" w:rsidP="004B520A">
            <w:pPr>
              <w:spacing w:before="0"/>
              <w:rPr>
                <w:rFonts w:ascii="Verdana" w:hAnsi="Verdana"/>
                <w:b/>
                <w:bCs/>
                <w:sz w:val="20"/>
              </w:rPr>
            </w:pPr>
            <w:r w:rsidRPr="00F65089">
              <w:rPr>
                <w:rFonts w:ascii="Verdana" w:hAnsi="Verdana"/>
                <w:b/>
                <w:sz w:val="20"/>
              </w:rPr>
              <w:t>31 de enero de 2022</w:t>
            </w:r>
          </w:p>
        </w:tc>
      </w:tr>
      <w:tr w:rsidR="00E83D45" w:rsidRPr="00F65089" w14:paraId="307A15A5" w14:textId="77777777" w:rsidTr="004B520A">
        <w:trPr>
          <w:cantSplit/>
        </w:trPr>
        <w:tc>
          <w:tcPr>
            <w:tcW w:w="6613" w:type="dxa"/>
          </w:tcPr>
          <w:p w14:paraId="598EA15E" w14:textId="77777777" w:rsidR="00E83D45" w:rsidRPr="00F65089" w:rsidRDefault="00E83D45" w:rsidP="004B520A">
            <w:pPr>
              <w:spacing w:before="0"/>
            </w:pPr>
          </w:p>
        </w:tc>
        <w:tc>
          <w:tcPr>
            <w:tcW w:w="3198" w:type="dxa"/>
          </w:tcPr>
          <w:p w14:paraId="4FD16E1C" w14:textId="77777777" w:rsidR="00E83D45" w:rsidRPr="00F65089" w:rsidRDefault="00E83D45" w:rsidP="004B520A">
            <w:pPr>
              <w:spacing w:before="0"/>
              <w:rPr>
                <w:rFonts w:ascii="Verdana" w:hAnsi="Verdana"/>
                <w:b/>
                <w:bCs/>
                <w:sz w:val="20"/>
              </w:rPr>
            </w:pPr>
            <w:r w:rsidRPr="00F65089">
              <w:rPr>
                <w:rFonts w:ascii="Verdana" w:hAnsi="Verdana"/>
                <w:b/>
                <w:sz w:val="20"/>
              </w:rPr>
              <w:t>Original: inglés</w:t>
            </w:r>
          </w:p>
        </w:tc>
      </w:tr>
      <w:tr w:rsidR="00681766" w:rsidRPr="00F65089" w14:paraId="6469B795" w14:textId="77777777" w:rsidTr="004B520A">
        <w:trPr>
          <w:cantSplit/>
        </w:trPr>
        <w:tc>
          <w:tcPr>
            <w:tcW w:w="9811" w:type="dxa"/>
            <w:gridSpan w:val="2"/>
          </w:tcPr>
          <w:p w14:paraId="569D1CE1" w14:textId="77777777" w:rsidR="00681766" w:rsidRPr="00F65089" w:rsidRDefault="00681766" w:rsidP="004B520A">
            <w:pPr>
              <w:spacing w:before="0"/>
              <w:rPr>
                <w:rFonts w:ascii="Verdana" w:hAnsi="Verdana"/>
                <w:b/>
                <w:bCs/>
                <w:sz w:val="20"/>
              </w:rPr>
            </w:pPr>
          </w:p>
        </w:tc>
      </w:tr>
      <w:tr w:rsidR="00E83D45" w:rsidRPr="00F65089" w14:paraId="1D3B92D4" w14:textId="77777777" w:rsidTr="004B520A">
        <w:trPr>
          <w:cantSplit/>
        </w:trPr>
        <w:tc>
          <w:tcPr>
            <w:tcW w:w="9811" w:type="dxa"/>
            <w:gridSpan w:val="2"/>
          </w:tcPr>
          <w:p w14:paraId="46B4B2C9" w14:textId="77777777" w:rsidR="00E83D45" w:rsidRPr="00F65089" w:rsidRDefault="00E83D45" w:rsidP="004B520A">
            <w:pPr>
              <w:pStyle w:val="Source"/>
            </w:pPr>
            <w:r w:rsidRPr="00F65089">
              <w:t>Administraciones de los Estados Árabes</w:t>
            </w:r>
          </w:p>
        </w:tc>
      </w:tr>
      <w:tr w:rsidR="00E83D45" w:rsidRPr="00F65089" w14:paraId="702B5301" w14:textId="77777777" w:rsidTr="004B520A">
        <w:trPr>
          <w:cantSplit/>
        </w:trPr>
        <w:tc>
          <w:tcPr>
            <w:tcW w:w="9811" w:type="dxa"/>
            <w:gridSpan w:val="2"/>
          </w:tcPr>
          <w:p w14:paraId="117C7F46" w14:textId="4A5FA201" w:rsidR="00E83D45" w:rsidRPr="00F65089" w:rsidRDefault="009C018C" w:rsidP="009C018C">
            <w:pPr>
              <w:pStyle w:val="Title1"/>
            </w:pPr>
            <w:r w:rsidRPr="00F65089">
              <w:t>PROPUESTA DE NUEVA RESOLUCIÓN</w:t>
            </w:r>
            <w:r w:rsidR="00E83D45" w:rsidRPr="00F65089">
              <w:t xml:space="preserve"> [ARB-3] </w:t>
            </w:r>
            <w:r w:rsidRPr="00F65089">
              <w:t>–</w:t>
            </w:r>
            <w:r w:rsidR="00E83D45" w:rsidRPr="00F65089">
              <w:t xml:space="preserve"> </w:t>
            </w:r>
            <w:r w:rsidRPr="00F65089">
              <w:t>un análisis de la reforma organizativa de las comisiones de estudio del sector de normalización de la uit</w:t>
            </w:r>
          </w:p>
        </w:tc>
      </w:tr>
      <w:tr w:rsidR="00E83D45" w:rsidRPr="00F65089" w14:paraId="5B96BF7E" w14:textId="77777777" w:rsidTr="004B520A">
        <w:trPr>
          <w:cantSplit/>
        </w:trPr>
        <w:tc>
          <w:tcPr>
            <w:tcW w:w="9811" w:type="dxa"/>
            <w:gridSpan w:val="2"/>
          </w:tcPr>
          <w:p w14:paraId="491C3E81" w14:textId="77777777" w:rsidR="00E83D45" w:rsidRPr="00F65089" w:rsidRDefault="00E83D45" w:rsidP="004B520A">
            <w:pPr>
              <w:pStyle w:val="Title2"/>
            </w:pPr>
          </w:p>
        </w:tc>
      </w:tr>
      <w:tr w:rsidR="00E83D45" w:rsidRPr="00F65089" w14:paraId="6078E275" w14:textId="77777777" w:rsidTr="002E5627">
        <w:trPr>
          <w:cantSplit/>
          <w:trHeight w:hRule="exact" w:val="120"/>
        </w:trPr>
        <w:tc>
          <w:tcPr>
            <w:tcW w:w="9811" w:type="dxa"/>
            <w:gridSpan w:val="2"/>
          </w:tcPr>
          <w:p w14:paraId="413D1C71" w14:textId="77777777" w:rsidR="00E83D45" w:rsidRPr="00F65089" w:rsidRDefault="00E83D45" w:rsidP="004B520A">
            <w:pPr>
              <w:pStyle w:val="Agendaitem"/>
            </w:pPr>
          </w:p>
        </w:tc>
      </w:tr>
    </w:tbl>
    <w:p w14:paraId="18948051" w14:textId="77777777" w:rsidR="006B0F54" w:rsidRPr="00F65089" w:rsidRDefault="006B0F54" w:rsidP="006B0F54"/>
    <w:p w14:paraId="1A2AE20F" w14:textId="77777777" w:rsidR="0051705A" w:rsidRPr="00F65089" w:rsidRDefault="0051705A" w:rsidP="00C25B5B"/>
    <w:p w14:paraId="7A2F1936" w14:textId="77777777" w:rsidR="00B07178" w:rsidRPr="00F65089" w:rsidRDefault="00B07178" w:rsidP="00C25B5B">
      <w:r w:rsidRPr="00F65089">
        <w:br w:type="page"/>
      </w:r>
    </w:p>
    <w:p w14:paraId="7BE71C8F" w14:textId="77777777" w:rsidR="00E83D45" w:rsidRPr="00F65089" w:rsidRDefault="00E83D45" w:rsidP="007E5A28"/>
    <w:p w14:paraId="10BBBBF2" w14:textId="07DEE666" w:rsidR="009C018C" w:rsidRPr="00F65089" w:rsidRDefault="005D38DC" w:rsidP="00886655">
      <w:pPr>
        <w:pStyle w:val="Proposal"/>
      </w:pPr>
      <w:r w:rsidRPr="00F65089">
        <w:t>ADD</w:t>
      </w:r>
      <w:r w:rsidRPr="00F65089">
        <w:tab/>
        <w:t>ARB/36A32/1</w:t>
      </w:r>
    </w:p>
    <w:p w14:paraId="7D641CF6" w14:textId="43362F27" w:rsidR="009C018C" w:rsidRPr="00F65089" w:rsidRDefault="009C018C" w:rsidP="00886655">
      <w:pPr>
        <w:pStyle w:val="ResNo"/>
      </w:pPr>
      <w:r w:rsidRPr="00F65089">
        <w:t>PROYECTO DE NUEVA RESOLUCIÓN [ARB-3]</w:t>
      </w:r>
    </w:p>
    <w:p w14:paraId="65085CC0" w14:textId="522EFF6E" w:rsidR="009C018C" w:rsidRPr="00F65089" w:rsidRDefault="009C018C" w:rsidP="00886655">
      <w:pPr>
        <w:pStyle w:val="Restitle"/>
      </w:pPr>
      <w:r w:rsidRPr="00F65089">
        <w:t>Un análisis de la reforma organizativa de las Comisiones</w:t>
      </w:r>
      <w:r w:rsidR="00C71DEC">
        <w:br/>
      </w:r>
      <w:r w:rsidRPr="00F65089">
        <w:t>de Estudio del Sector de Normalización de la UIT</w:t>
      </w:r>
    </w:p>
    <w:p w14:paraId="4DE9BCC1" w14:textId="766FF99A" w:rsidR="009C018C" w:rsidRPr="00F65089" w:rsidRDefault="009C018C" w:rsidP="00F65089">
      <w:pPr>
        <w:pStyle w:val="Resref"/>
      </w:pPr>
      <w:r w:rsidRPr="00F65089">
        <w:t>(Ginebra, 2022)</w:t>
      </w:r>
    </w:p>
    <w:p w14:paraId="40C79271" w14:textId="50689334" w:rsidR="009C018C" w:rsidRPr="00F65089" w:rsidRDefault="009C018C" w:rsidP="00F13076">
      <w:r w:rsidRPr="00F65089">
        <w:t>La Asamblea Mundial de Normalización de las Telecomunicaciones (Ginebra, 2022),</w:t>
      </w:r>
    </w:p>
    <w:p w14:paraId="56E41F5C" w14:textId="2D7F7F7B" w:rsidR="009C018C" w:rsidRPr="00F65089" w:rsidRDefault="009C018C" w:rsidP="004A4E6E">
      <w:pPr>
        <w:pStyle w:val="Call"/>
      </w:pPr>
      <w:r w:rsidRPr="00F65089">
        <w:t>recordando</w:t>
      </w:r>
    </w:p>
    <w:p w14:paraId="18CB741F" w14:textId="1EC03743" w:rsidR="009C018C" w:rsidRPr="00F65089" w:rsidRDefault="009C018C" w:rsidP="004A4E6E">
      <w:r w:rsidRPr="00F65089">
        <w:rPr>
          <w:i/>
        </w:rPr>
        <w:t>a)</w:t>
      </w:r>
      <w:r w:rsidRPr="00F65089">
        <w:rPr>
          <w:i/>
        </w:rPr>
        <w:tab/>
      </w:r>
      <w:r w:rsidR="00F719FD" w:rsidRPr="00F65089">
        <w:t xml:space="preserve">el </w:t>
      </w:r>
      <w:r w:rsidRPr="00F65089">
        <w:t>número 105 de la Constitución de la Unión Internacional de Telecomunicaciones</w:t>
      </w:r>
      <w:r w:rsidR="009123F4" w:rsidRPr="00F65089">
        <w:t>,</w:t>
      </w:r>
      <w:r w:rsidRPr="00F65089">
        <w:t xml:space="preserve"> en que se establece que las funciones precisas de los Sectores de Radiocomunicaciones y de Normalización de las Telecomunicaciones estarán sujetas a un constante examen en estrecha colaboración entre ambos en los asuntos de interés mutuo, de conformidad con las disposiciones aplicables del Convenio; y que los Sectores de Radiocomunicaciones, Normalización de las Telecomunicaciones y Desarrollo de las Telecomunicaciones mantendrán una estrecha coordinación;</w:t>
      </w:r>
    </w:p>
    <w:p w14:paraId="325AFE6C" w14:textId="66D0F7C0" w:rsidR="009C018C" w:rsidRPr="00F65089" w:rsidRDefault="009C018C" w:rsidP="004A4E6E">
      <w:r w:rsidRPr="00F65089">
        <w:rPr>
          <w:i/>
        </w:rPr>
        <w:t>b)</w:t>
      </w:r>
      <w:r w:rsidRPr="00F65089">
        <w:rPr>
          <w:i/>
        </w:rPr>
        <w:tab/>
      </w:r>
      <w:r w:rsidR="00F719FD" w:rsidRPr="00F65089">
        <w:t xml:space="preserve">el </w:t>
      </w:r>
      <w:r w:rsidRPr="00F65089">
        <w:t xml:space="preserve">número </w:t>
      </w:r>
      <w:r w:rsidR="00F719FD" w:rsidRPr="00F65089">
        <w:t xml:space="preserve">197 del Convenio </w:t>
      </w:r>
      <w:r w:rsidRPr="00F65089">
        <w:t>de la Unión Internacional de Telecomunicaciones</w:t>
      </w:r>
      <w:r w:rsidR="009123F4" w:rsidRPr="00F65089">
        <w:t>,</w:t>
      </w:r>
      <w:r w:rsidRPr="00F65089">
        <w:t xml:space="preserve"> en que se </w:t>
      </w:r>
      <w:r w:rsidR="00F719FD" w:rsidRPr="00F65089">
        <w:t>estipula</w:t>
      </w:r>
      <w:r w:rsidRPr="00F65089">
        <w:t xml:space="preserve"> que</w:t>
      </w:r>
      <w:r w:rsidR="00F719FD" w:rsidRPr="00F65089">
        <w:t xml:space="preserve">, con objeto de facilitar el examen de las actividades del Sector de Normalización de las Telecomunicaciones, conviene tomar medidas para fomentar la cooperación y la coordinación con otras organizaciones que se ocupan de </w:t>
      </w:r>
      <w:r w:rsidR="009123F4" w:rsidRPr="00F65089">
        <w:t xml:space="preserve">la </w:t>
      </w:r>
      <w:r w:rsidR="00F719FD" w:rsidRPr="00F65089">
        <w:t>normalización de las telecomunicaciones y con los Sectores de Radiocomunicaciones y de Desarrollo de las Telecomunicaciones; y que las funciones concretas, la forma de participación y las reglas de aplicación de estas medidas se determinarán en una Asamblea Mundial de Normalización de las Telecomunicaciones;</w:t>
      </w:r>
    </w:p>
    <w:p w14:paraId="26F38851" w14:textId="72DAA5C2" w:rsidR="00F719FD" w:rsidRPr="00F65089" w:rsidRDefault="00F719FD" w:rsidP="004A4E6E">
      <w:r w:rsidRPr="00F65089">
        <w:rPr>
          <w:i/>
        </w:rPr>
        <w:t>c)</w:t>
      </w:r>
      <w:r w:rsidRPr="00F65089">
        <w:tab/>
        <w:t xml:space="preserve">la Resolución 2 (Rev. Hammamet, 2016) </w:t>
      </w:r>
      <w:r w:rsidR="00C71DEC">
        <w:t>–</w:t>
      </w:r>
      <w:r w:rsidRPr="00F65089">
        <w:t xml:space="preserve"> Responsabilidad y mandato de las Comisiones de Estudio del Sector de Normalización de las Telecomunicaciones de la UIT;</w:t>
      </w:r>
    </w:p>
    <w:p w14:paraId="1FCBB750" w14:textId="6BDA447E" w:rsidR="00F719FD" w:rsidRPr="00F65089" w:rsidRDefault="00F719FD" w:rsidP="004A4E6E">
      <w:r w:rsidRPr="00F65089">
        <w:rPr>
          <w:i/>
        </w:rPr>
        <w:t>d)</w:t>
      </w:r>
      <w:r w:rsidRPr="00F65089">
        <w:rPr>
          <w:i/>
        </w:rPr>
        <w:tab/>
      </w:r>
      <w:r w:rsidRPr="00F65089">
        <w:t xml:space="preserve">la Resolución 157 (Rev. Dubái, 2018) </w:t>
      </w:r>
      <w:r w:rsidR="00C71DEC">
        <w:t>–</w:t>
      </w:r>
      <w:r w:rsidRPr="00F65089">
        <w:t xml:space="preserve"> Mejora de la gestión basada en los resultados en la</w:t>
      </w:r>
      <w:r w:rsidR="00F65089" w:rsidRPr="00F65089">
        <w:t> </w:t>
      </w:r>
      <w:r w:rsidRPr="00F65089">
        <w:t>UIT,</w:t>
      </w:r>
    </w:p>
    <w:p w14:paraId="5EE6CBDD" w14:textId="4CDC1FC2" w:rsidR="00F719FD" w:rsidRPr="00F65089" w:rsidRDefault="00F719FD" w:rsidP="004A4E6E">
      <w:pPr>
        <w:pStyle w:val="Call"/>
      </w:pPr>
      <w:r w:rsidRPr="00F65089">
        <w:t>considerando</w:t>
      </w:r>
    </w:p>
    <w:p w14:paraId="0167A128" w14:textId="0AB890B1" w:rsidR="00F719FD" w:rsidRPr="00F65089" w:rsidRDefault="00F719FD" w:rsidP="00F719FD">
      <w:r w:rsidRPr="00F65089">
        <w:rPr>
          <w:i/>
        </w:rPr>
        <w:t>a)</w:t>
      </w:r>
      <w:r w:rsidRPr="00F65089">
        <w:tab/>
        <w:t>los objetivos y metas estratégicos del Sector de Normalización y sus criterios de ejecución establecidos en el Anexo 1 de la Resolución 71 (Dubái, 2018);</w:t>
      </w:r>
    </w:p>
    <w:p w14:paraId="7F9E2770" w14:textId="4AE35C9F" w:rsidR="00F719FD" w:rsidRPr="00F65089" w:rsidRDefault="00C36ACC" w:rsidP="00F719FD">
      <w:r w:rsidRPr="00F65089">
        <w:rPr>
          <w:i/>
        </w:rPr>
        <w:t>b</w:t>
      </w:r>
      <w:r w:rsidR="00F719FD" w:rsidRPr="00F65089">
        <w:rPr>
          <w:i/>
        </w:rPr>
        <w:t>)</w:t>
      </w:r>
      <w:r w:rsidR="00F719FD" w:rsidRPr="00F65089">
        <w:tab/>
        <w:t>la Resolución 122 (Rev. Guadalajara, 2010) de la Conferencia de Plenipotenciarios, sobre la evolución del papel de la Asamblea Mundial de Normalización de las Telecomunicaciones</w:t>
      </w:r>
      <w:r w:rsidRPr="00F65089">
        <w:t>;</w:t>
      </w:r>
    </w:p>
    <w:p w14:paraId="0F6520B9" w14:textId="1EC1592F" w:rsidR="00C36ACC" w:rsidRPr="00F65089" w:rsidRDefault="00C36ACC" w:rsidP="00F719FD">
      <w:r w:rsidRPr="00F65089">
        <w:rPr>
          <w:i/>
        </w:rPr>
        <w:t>c)</w:t>
      </w:r>
      <w:r w:rsidRPr="00F65089">
        <w:rPr>
          <w:i/>
        </w:rPr>
        <w:tab/>
      </w:r>
      <w:r w:rsidRPr="00F65089">
        <w:t>el párrafo 44 de la Declaración de Principios de Ginebra de la CMSI, en que se destaca que la normalización es uno de los componentes esenciales de la Sociedad de la Información, y que el desarrollo y empleo de normas abiertas, compatibles, no discriminatorias e impulsadas por la demanda, que tengan en cuenta las necesidades de los usuarios y los consumidores es un factor básico para el desarrollo y la mayor propagación de las TIC, así como de un acceso más asequible a las mismas, sobre todo en los países en desarrollo,</w:t>
      </w:r>
    </w:p>
    <w:p w14:paraId="7A871288" w14:textId="340F6A1D" w:rsidR="00C36ACC" w:rsidRPr="00F65089" w:rsidRDefault="00C36ACC" w:rsidP="004A4E6E">
      <w:pPr>
        <w:pStyle w:val="Call"/>
      </w:pPr>
      <w:r w:rsidRPr="00F65089">
        <w:t>reconsiderando</w:t>
      </w:r>
    </w:p>
    <w:p w14:paraId="4E66A517" w14:textId="242D3E4C" w:rsidR="00C36ACC" w:rsidRPr="00F65089" w:rsidRDefault="00C36ACC">
      <w:r w:rsidRPr="00F65089">
        <w:rPr>
          <w:i/>
        </w:rPr>
        <w:t>a)</w:t>
      </w:r>
      <w:r w:rsidRPr="00F65089">
        <w:rPr>
          <w:i/>
        </w:rPr>
        <w:tab/>
      </w:r>
      <w:r w:rsidR="000E5C9A" w:rsidRPr="00F65089">
        <w:t>que el panorama de la normalización ha experimentado una evolución y cambios considerables, por lo que el UIT-T debe adaptarse rápidamente a la evolución de las circunstancias en consonancia con las expectativas de los participantes de los sectores público y privado;</w:t>
      </w:r>
    </w:p>
    <w:p w14:paraId="76BBB582" w14:textId="6AE53383" w:rsidR="000E5C9A" w:rsidRPr="00F65089" w:rsidRDefault="000E5C9A">
      <w:r w:rsidRPr="00F65089">
        <w:rPr>
          <w:i/>
        </w:rPr>
        <w:lastRenderedPageBreak/>
        <w:t>b)</w:t>
      </w:r>
      <w:r w:rsidRPr="00F65089">
        <w:rPr>
          <w:i/>
        </w:rPr>
        <w:tab/>
      </w:r>
      <w:r w:rsidRPr="00F65089">
        <w:t>que la mejora de la eficiencia y eficacia operativas de los resultados del UIT-T requiere, entre otros aspectos, que se examinen los procesos y procedimientos, la estructura de las Comisiones de Estudio y la lista de Cuestiones;</w:t>
      </w:r>
    </w:p>
    <w:p w14:paraId="75F617B5" w14:textId="50A31FA9" w:rsidR="000E5C9A" w:rsidRPr="00F65089" w:rsidRDefault="000E5C9A">
      <w:r w:rsidRPr="00F65089">
        <w:rPr>
          <w:i/>
        </w:rPr>
        <w:t>c)</w:t>
      </w:r>
      <w:r w:rsidRPr="00F65089">
        <w:rPr>
          <w:i/>
        </w:rPr>
        <w:tab/>
      </w:r>
      <w:r w:rsidR="00C52088" w:rsidRPr="00F65089">
        <w:t>que debe realizarse un análisis exhaustivo de la reforma organizativa de las Comisiones de Estudio del Sector de Normalización de la UIT, que tenga en cuenta la evolución del panorama de la normalización;</w:t>
      </w:r>
    </w:p>
    <w:p w14:paraId="383D0BFB" w14:textId="4DC300E8" w:rsidR="00077B74" w:rsidRPr="00F65089" w:rsidRDefault="00C52088">
      <w:r w:rsidRPr="00F65089">
        <w:rPr>
          <w:i/>
        </w:rPr>
        <w:t>d)</w:t>
      </w:r>
      <w:r w:rsidRPr="00F65089">
        <w:tab/>
        <w:t xml:space="preserve">que la reestructuración de las Comisiones de Estudio del UIT-T </w:t>
      </w:r>
      <w:r w:rsidR="00077B74" w:rsidRPr="00F65089">
        <w:t>tiene que</w:t>
      </w:r>
      <w:r w:rsidRPr="00F65089">
        <w:t xml:space="preserve"> ser consecuencia y resultado de un análisis transparente y exhaustivo, lo que brindará flexibilidad a </w:t>
      </w:r>
      <w:r w:rsidR="00077B74" w:rsidRPr="00F65089">
        <w:t>los mandatos en respuesta a las necesidades de la industria y el mercado;</w:t>
      </w:r>
    </w:p>
    <w:p w14:paraId="1D0280A5" w14:textId="2F40783A" w:rsidR="00C52088" w:rsidRPr="00F65089" w:rsidRDefault="00077B74">
      <w:r w:rsidRPr="00F65089">
        <w:rPr>
          <w:i/>
        </w:rPr>
        <w:t>e)</w:t>
      </w:r>
      <w:r w:rsidRPr="00F65089">
        <w:tab/>
        <w:t>que la reestructuración de las Comisiones de Estudio del UIT-T debe estrechar la colaboración en el seno de la UIT y con otras organizaciones;</w:t>
      </w:r>
    </w:p>
    <w:p w14:paraId="57512070" w14:textId="5F0AFC90" w:rsidR="00077B74" w:rsidRPr="00F65089" w:rsidRDefault="00077B74" w:rsidP="004A4E6E">
      <w:pPr>
        <w:pStyle w:val="Call"/>
      </w:pPr>
      <w:r w:rsidRPr="00F65089">
        <w:t>observando</w:t>
      </w:r>
    </w:p>
    <w:p w14:paraId="438812CE" w14:textId="164C481E" w:rsidR="00077B74" w:rsidRPr="00F65089" w:rsidRDefault="00077B74">
      <w:r w:rsidRPr="00F65089">
        <w:t>los debates celebrados en</w:t>
      </w:r>
      <w:r w:rsidR="009123F4" w:rsidRPr="00F65089">
        <w:t xml:space="preserve"> el marco de las</w:t>
      </w:r>
      <w:r w:rsidRPr="00F65089">
        <w:t xml:space="preserve"> reuniones del GANT sobre la base de elementos de reflexión </w:t>
      </w:r>
      <w:r w:rsidR="009123F4" w:rsidRPr="00F65089">
        <w:t>aportados</w:t>
      </w:r>
      <w:r w:rsidRPr="00F65089">
        <w:t xml:space="preserve"> por el Director de la TSB,</w:t>
      </w:r>
    </w:p>
    <w:p w14:paraId="27E75AAF" w14:textId="672D8C81" w:rsidR="00077B74" w:rsidRPr="00F65089" w:rsidRDefault="00077B74" w:rsidP="004A4E6E">
      <w:pPr>
        <w:pStyle w:val="Call"/>
      </w:pPr>
      <w:r w:rsidRPr="00F65089">
        <w:t>resuelve</w:t>
      </w:r>
    </w:p>
    <w:p w14:paraId="59742214" w14:textId="2E75D030" w:rsidR="00077B74" w:rsidRPr="00F65089" w:rsidRDefault="00077B74">
      <w:r w:rsidRPr="00F65089">
        <w:t>1</w:t>
      </w:r>
      <w:r w:rsidRPr="00F65089">
        <w:tab/>
        <w:t>que las Comisiones de Estudio del UIT-T, en el marco de sus competencias y en cumplimiento de su mandato, prosigan sus estudios sobre la base de la Resolución 2;</w:t>
      </w:r>
    </w:p>
    <w:p w14:paraId="0EB14866" w14:textId="201643E1" w:rsidR="00077B74" w:rsidRPr="00F65089" w:rsidRDefault="00077B74">
      <w:r w:rsidRPr="00F65089">
        <w:t>2</w:t>
      </w:r>
      <w:r w:rsidRPr="00F65089">
        <w:tab/>
        <w:t xml:space="preserve">que </w:t>
      </w:r>
      <w:r w:rsidR="00C14A6B" w:rsidRPr="00F65089">
        <w:t xml:space="preserve">todos los Estados Miembros de la UIT y </w:t>
      </w:r>
      <w:r w:rsidR="009123F4" w:rsidRPr="00F65089">
        <w:t xml:space="preserve">los </w:t>
      </w:r>
      <w:r w:rsidR="00C14A6B" w:rsidRPr="00F65089">
        <w:t xml:space="preserve">Miembros de Sector del UIT-T puedan presentar </w:t>
      </w:r>
      <w:r w:rsidRPr="00F65089">
        <w:t xml:space="preserve">contribuciones relativas a la restructuración, </w:t>
      </w:r>
      <w:r w:rsidR="00431877" w:rsidRPr="00F65089">
        <w:t xml:space="preserve">la </w:t>
      </w:r>
      <w:r w:rsidRPr="00F65089">
        <w:t xml:space="preserve">reforma y </w:t>
      </w:r>
      <w:r w:rsidR="00431877" w:rsidRPr="00F65089">
        <w:t xml:space="preserve">el </w:t>
      </w:r>
      <w:r w:rsidRPr="00F65089">
        <w:t>examen</w:t>
      </w:r>
      <w:r w:rsidR="00C14A6B" w:rsidRPr="00F65089">
        <w:t>;</w:t>
      </w:r>
    </w:p>
    <w:p w14:paraId="30118D1D" w14:textId="66E13833" w:rsidR="00C14A6B" w:rsidRPr="00F65089" w:rsidRDefault="00C14A6B">
      <w:r w:rsidRPr="00F65089">
        <w:t>3</w:t>
      </w:r>
      <w:r w:rsidRPr="00F65089">
        <w:tab/>
        <w:t>que en el marco del examen se prepare un informe sobre el avance de los trabajos para cada reunión del GANT;</w:t>
      </w:r>
    </w:p>
    <w:p w14:paraId="6935E5F3" w14:textId="05DE1AEA" w:rsidR="00C14A6B" w:rsidRPr="00F65089" w:rsidRDefault="00C14A6B">
      <w:r w:rsidRPr="00F65089">
        <w:t>4</w:t>
      </w:r>
      <w:r w:rsidRPr="00F65089">
        <w:tab/>
        <w:t>que como producto de la posible reforma y examen con las orientaciones del GANT se prepare un informe final para la AMNT-24;</w:t>
      </w:r>
    </w:p>
    <w:p w14:paraId="526A3778" w14:textId="24D9A155" w:rsidR="00C14A6B" w:rsidRPr="00F65089" w:rsidRDefault="00C14A6B">
      <w:r w:rsidRPr="00F65089">
        <w:t>5</w:t>
      </w:r>
      <w:r w:rsidRPr="00F65089">
        <w:tab/>
        <w:t xml:space="preserve">que como producto de la posible reforma y examen se elabore un documento </w:t>
      </w:r>
      <w:r w:rsidR="00251FA7" w:rsidRPr="00F65089">
        <w:t xml:space="preserve">de orientación y consulta </w:t>
      </w:r>
      <w:r w:rsidR="00EA7A47" w:rsidRPr="00F65089">
        <w:t>cuya aplicación</w:t>
      </w:r>
      <w:r w:rsidR="00251FA7" w:rsidRPr="00F65089">
        <w:t xml:space="preserve"> no sea obligatori</w:t>
      </w:r>
      <w:r w:rsidR="00431877" w:rsidRPr="00F65089">
        <w:t>a</w:t>
      </w:r>
      <w:r w:rsidR="00251FA7" w:rsidRPr="00F65089">
        <w:t>,</w:t>
      </w:r>
    </w:p>
    <w:p w14:paraId="7C98BAA2" w14:textId="5EF029DE" w:rsidR="00251FA7" w:rsidRPr="00F65089" w:rsidRDefault="00251FA7" w:rsidP="004A4E6E">
      <w:pPr>
        <w:pStyle w:val="Call"/>
      </w:pPr>
      <w:r w:rsidRPr="00F65089">
        <w:t>invita al Consejo</w:t>
      </w:r>
    </w:p>
    <w:p w14:paraId="4354C582" w14:textId="2FB22DF2" w:rsidR="00C14A6B" w:rsidRPr="00F65089" w:rsidRDefault="00251FA7">
      <w:r w:rsidRPr="00F65089">
        <w:t>a encargar a la TSB que lleve a cabo el examen y presente un informe de avance sobre sus resultados al Consejo,</w:t>
      </w:r>
    </w:p>
    <w:p w14:paraId="61997494" w14:textId="607CB279" w:rsidR="00251FA7" w:rsidRPr="00F65089" w:rsidRDefault="00251FA7" w:rsidP="004A4E6E">
      <w:pPr>
        <w:pStyle w:val="Call"/>
      </w:pPr>
      <w:r w:rsidRPr="00F65089">
        <w:t>encarga al Director de la Oficina de Normalización de las Telecomunicaciones</w:t>
      </w:r>
    </w:p>
    <w:p w14:paraId="2AD7BA41" w14:textId="57D1453E" w:rsidR="00251FA7" w:rsidRPr="00F65089" w:rsidRDefault="00251FA7">
      <w:r w:rsidRPr="00F65089">
        <w:t>que tome las medidas necesarias para aplicar esta Resolución,</w:t>
      </w:r>
    </w:p>
    <w:p w14:paraId="43FA7667" w14:textId="03B6C4E8" w:rsidR="00251FA7" w:rsidRPr="00F65089" w:rsidRDefault="00251FA7" w:rsidP="00251FA7">
      <w:pPr>
        <w:pStyle w:val="Call"/>
      </w:pPr>
      <w:r w:rsidRPr="00F65089">
        <w:t>encarga al Grupo Asesor de Normalización de las Telecomunicaciones</w:t>
      </w:r>
    </w:p>
    <w:p w14:paraId="5D4C051B" w14:textId="6BC78285" w:rsidR="00251FA7" w:rsidRPr="00F65089" w:rsidRDefault="00251FA7">
      <w:r w:rsidRPr="00F65089">
        <w:t>1</w:t>
      </w:r>
      <w:r w:rsidRPr="00F65089">
        <w:tab/>
        <w:t>que supervise y oriente los trabajos que se presentarán al Consejo;</w:t>
      </w:r>
    </w:p>
    <w:p w14:paraId="7A9D169F" w14:textId="265EA9B2" w:rsidR="00251FA7" w:rsidRPr="00F65089" w:rsidRDefault="00251FA7">
      <w:r w:rsidRPr="00F65089">
        <w:t>2</w:t>
      </w:r>
      <w:r w:rsidRPr="00F65089">
        <w:tab/>
        <w:t xml:space="preserve">que </w:t>
      </w:r>
      <w:r w:rsidR="00431877" w:rsidRPr="00F65089">
        <w:t>comunique</w:t>
      </w:r>
      <w:r w:rsidRPr="00F65089">
        <w:t xml:space="preserve"> un informe final del examen a la AMNT-24,</w:t>
      </w:r>
    </w:p>
    <w:p w14:paraId="6B9AD2BE" w14:textId="0721D792" w:rsidR="00251FA7" w:rsidRPr="00F65089" w:rsidRDefault="00251FA7" w:rsidP="00C71DEC">
      <w:pPr>
        <w:pStyle w:val="Call"/>
        <w:keepNext w:val="0"/>
        <w:keepLines w:val="0"/>
      </w:pPr>
      <w:r w:rsidRPr="00F65089">
        <w:t>encarga a las Comisiones de Estudio</w:t>
      </w:r>
    </w:p>
    <w:p w14:paraId="125A4361" w14:textId="5F509882" w:rsidR="00251FA7" w:rsidRPr="00F65089" w:rsidRDefault="00F324E4" w:rsidP="00C71DEC">
      <w:r w:rsidRPr="00F65089">
        <w:t>1</w:t>
      </w:r>
      <w:r w:rsidRPr="00F65089">
        <w:tab/>
        <w:t>que estudien el mecanismo óptimo para decidir acerca de toda recomendación de reestructuración al GANT;</w:t>
      </w:r>
    </w:p>
    <w:p w14:paraId="2C4826BF" w14:textId="50BBD115" w:rsidR="00F324E4" w:rsidRPr="00F65089" w:rsidRDefault="00F324E4" w:rsidP="00C71DEC">
      <w:pPr>
        <w:keepNext/>
        <w:keepLines/>
      </w:pPr>
      <w:r w:rsidRPr="00F65089">
        <w:lastRenderedPageBreak/>
        <w:t>2</w:t>
      </w:r>
      <w:r w:rsidRPr="00F65089">
        <w:tab/>
        <w:t xml:space="preserve">que </w:t>
      </w:r>
      <w:r w:rsidR="00431877" w:rsidRPr="00F65089">
        <w:t>comuniquen</w:t>
      </w:r>
      <w:r w:rsidRPr="00F65089">
        <w:t xml:space="preserve"> los resultados de sus trabajos al GANT,</w:t>
      </w:r>
    </w:p>
    <w:p w14:paraId="501A48B4" w14:textId="5A559D18" w:rsidR="00251FA7" w:rsidRPr="00F65089" w:rsidRDefault="00F324E4" w:rsidP="00C71DEC">
      <w:pPr>
        <w:pStyle w:val="Call"/>
      </w:pPr>
      <w:r w:rsidRPr="00F65089">
        <w:t>invita a los Estados Miembros y Miembros de Sector</w:t>
      </w:r>
    </w:p>
    <w:p w14:paraId="21789988" w14:textId="48876007" w:rsidR="00F324E4" w:rsidRPr="00F65089" w:rsidRDefault="00F324E4" w:rsidP="00F65089">
      <w:pPr>
        <w:keepNext/>
        <w:keepLines/>
      </w:pPr>
      <w:r w:rsidRPr="00F65089">
        <w:t>a participar en el proceso de examen y contribuir a dicho proceso.</w:t>
      </w:r>
    </w:p>
    <w:p w14:paraId="47B90596" w14:textId="77777777" w:rsidR="00EA7A47" w:rsidRPr="00F65089" w:rsidRDefault="00EA7A47" w:rsidP="00F13076">
      <w:pPr>
        <w:pStyle w:val="Reasons"/>
      </w:pPr>
    </w:p>
    <w:p w14:paraId="5B71C54C" w14:textId="15634F67" w:rsidR="00E83D45" w:rsidRPr="00F65089" w:rsidRDefault="00EA7A47" w:rsidP="00E83DE3">
      <w:pPr>
        <w:jc w:val="center"/>
      </w:pPr>
      <w:r w:rsidRPr="00F65089">
        <w:t>______________</w:t>
      </w:r>
    </w:p>
    <w:sectPr w:rsidR="00E83D45" w:rsidRPr="00F65089">
      <w:headerReference w:type="default" r:id="rId11"/>
      <w:footerReference w:type="even" r:id="rId12"/>
      <w:footerReference w:type="default" r:id="rId13"/>
      <w:footerReference w:type="first" r:id="rId14"/>
      <w:pgSz w:w="11907" w:h="16840" w:code="9"/>
      <w:pgMar w:top="1418" w:right="1134" w:bottom="1418" w:left="1134" w:header="720" w:footer="720"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615881C" w14:textId="77777777" w:rsidR="00C66B2F" w:rsidRDefault="00C66B2F">
      <w:r>
        <w:separator/>
      </w:r>
    </w:p>
  </w:endnote>
  <w:endnote w:type="continuationSeparator" w:id="0">
    <w:p w14:paraId="3AB87B63" w14:textId="77777777" w:rsidR="00C66B2F" w:rsidRDefault="00C66B2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Times">
    <w:panose1 w:val="02020603050405020304"/>
    <w:charset w:val="00"/>
    <w:family w:val="roman"/>
    <w:pitch w:val="variable"/>
    <w:sig w:usb0="E0002EFF" w:usb1="C000785B" w:usb2="00000009" w:usb3="00000000" w:csb0="000001FF" w:csb1="00000000"/>
  </w:font>
  <w:font w:name="Times New Roman Bold">
    <w:panose1 w:val="02020803070505020304"/>
    <w:charset w:val="00"/>
    <w:family w:val="roman"/>
    <w:pitch w:val="default"/>
    <w:sig w:usb0="00000000" w:usb1="00000000" w:usb2="00000000" w:usb3="00000000" w:csb0="000000FF" w:csb1="00000000"/>
  </w:font>
  <w:font w:name="Verdana">
    <w:panose1 w:val="020B0604030504040204"/>
    <w:charset w:val="00"/>
    <w:family w:val="swiss"/>
    <w:pitch w:val="variable"/>
    <w:sig w:usb0="A00006FF" w:usb1="4000205B" w:usb2="00000010" w:usb3="00000000" w:csb0="0000019F" w:csb1="00000000"/>
  </w:font>
  <w:font w:name="Calibri">
    <w:panose1 w:val="020F0502020204030204"/>
    <w:charset w:val="00"/>
    <w:family w:val="swiss"/>
    <w:pitch w:val="variable"/>
    <w:sig w:usb0="E4002EFF" w:usb1="C0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5436AC" w14:textId="77777777" w:rsidR="0077084A" w:rsidRDefault="0077084A">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15C221B4" w14:textId="54BFEACE" w:rsidR="0077084A" w:rsidRPr="006E0078" w:rsidRDefault="0077084A">
    <w:pPr>
      <w:ind w:right="360"/>
      <w:rPr>
        <w:lang w:val="fr-CH"/>
      </w:rPr>
    </w:pPr>
    <w:r>
      <w:fldChar w:fldCharType="begin"/>
    </w:r>
    <w:r w:rsidRPr="006E0078">
      <w:rPr>
        <w:lang w:val="fr-CH"/>
      </w:rPr>
      <w:instrText xml:space="preserve"> FILENAME \p  \* MERGEFORMAT </w:instrText>
    </w:r>
    <w:r>
      <w:fldChar w:fldCharType="separate"/>
    </w:r>
    <w:r w:rsidR="003F036D">
      <w:rPr>
        <w:noProof/>
        <w:lang w:val="fr-CH"/>
      </w:rPr>
      <w:t>P:\ESP\ITU-T\CONF-T\WTSA20\000\036ADD32S.docx</w:t>
    </w:r>
    <w:r>
      <w:fldChar w:fldCharType="end"/>
    </w:r>
    <w:r w:rsidRPr="006E0078">
      <w:rPr>
        <w:lang w:val="fr-CH"/>
      </w:rPr>
      <w:tab/>
    </w:r>
    <w:r>
      <w:fldChar w:fldCharType="begin"/>
    </w:r>
    <w:r>
      <w:instrText xml:space="preserve"> SAVEDATE \@ DD.MM.YY </w:instrText>
    </w:r>
    <w:r>
      <w:fldChar w:fldCharType="separate"/>
    </w:r>
    <w:r w:rsidR="00E83DE3">
      <w:rPr>
        <w:noProof/>
      </w:rPr>
      <w:t>08.02.22</w:t>
    </w:r>
    <w:r>
      <w:fldChar w:fldCharType="end"/>
    </w:r>
    <w:r w:rsidRPr="006E0078">
      <w:rPr>
        <w:lang w:val="fr-CH"/>
      </w:rPr>
      <w:tab/>
    </w:r>
    <w:r>
      <w:fldChar w:fldCharType="begin"/>
    </w:r>
    <w:r>
      <w:instrText xml:space="preserve"> PRINTDATE \@ DD.MM.YY </w:instrText>
    </w:r>
    <w:r>
      <w:fldChar w:fldCharType="separate"/>
    </w:r>
    <w:r w:rsidR="003F036D">
      <w:rPr>
        <w:noProof/>
      </w:rPr>
      <w:t>08.02.22</w:t>
    </w:r>
    <w: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5E6929" w14:textId="1D0A8A90" w:rsidR="00032BBF" w:rsidRPr="00F65089" w:rsidRDefault="00D5515E" w:rsidP="00032BBF">
    <w:pPr>
      <w:pStyle w:val="Footer"/>
      <w:rPr>
        <w:lang w:val="fr-FR"/>
      </w:rPr>
    </w:pPr>
    <w:r>
      <w:fldChar w:fldCharType="begin"/>
    </w:r>
    <w:r w:rsidRPr="00F65089">
      <w:rPr>
        <w:lang w:val="fr-FR"/>
      </w:rPr>
      <w:instrText xml:space="preserve"> FILENAME \p  \* MERGEFORMAT </w:instrText>
    </w:r>
    <w:r>
      <w:fldChar w:fldCharType="separate"/>
    </w:r>
    <w:r>
      <w:rPr>
        <w:lang w:val="fr-FR"/>
      </w:rPr>
      <w:t>P:\ESP\ITU-T\CONF-T\WTSA20\000\036ADD32S.docx</w:t>
    </w:r>
    <w:r>
      <w:fldChar w:fldCharType="end"/>
    </w:r>
    <w:r w:rsidR="00032BBF" w:rsidRPr="00F65089">
      <w:rPr>
        <w:lang w:val="fr-FR"/>
      </w:rPr>
      <w:t xml:space="preserve"> (501386)</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2775BE" w14:textId="2528945D" w:rsidR="00032BBF" w:rsidRPr="00F65089" w:rsidRDefault="00D5515E" w:rsidP="00032BBF">
    <w:pPr>
      <w:pStyle w:val="Footer"/>
      <w:rPr>
        <w:lang w:val="fr-FR"/>
      </w:rPr>
    </w:pPr>
    <w:r>
      <w:fldChar w:fldCharType="begin"/>
    </w:r>
    <w:r w:rsidRPr="00F65089">
      <w:rPr>
        <w:lang w:val="fr-FR"/>
      </w:rPr>
      <w:instrText xml:space="preserve"> FILENAME \p  \* MERGEFORMAT </w:instrText>
    </w:r>
    <w:r>
      <w:fldChar w:fldCharType="separate"/>
    </w:r>
    <w:r>
      <w:rPr>
        <w:lang w:val="fr-FR"/>
      </w:rPr>
      <w:t>P:\ESP\ITU-T\CONF-T\WTSA20\000\036ADD32S.docx</w:t>
    </w:r>
    <w:r>
      <w:fldChar w:fldCharType="end"/>
    </w:r>
    <w:r w:rsidR="00032BBF" w:rsidRPr="00F65089">
      <w:rPr>
        <w:lang w:val="fr-FR"/>
      </w:rPr>
      <w:t xml:space="preserve"> (501386)</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2F5FA1A" w14:textId="77777777" w:rsidR="00C66B2F" w:rsidRDefault="00C66B2F">
      <w:r>
        <w:rPr>
          <w:b/>
        </w:rPr>
        <w:t>_______________</w:t>
      </w:r>
    </w:p>
  </w:footnote>
  <w:footnote w:type="continuationSeparator" w:id="0">
    <w:p w14:paraId="0AB12371" w14:textId="77777777" w:rsidR="00C66B2F" w:rsidRDefault="00C66B2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8DE9D7" w14:textId="0996D244" w:rsidR="00E83D45" w:rsidRDefault="00E83D45" w:rsidP="00E83D45">
    <w:pPr>
      <w:pStyle w:val="Header"/>
    </w:pPr>
    <w:r>
      <w:fldChar w:fldCharType="begin"/>
    </w:r>
    <w:r>
      <w:instrText xml:space="preserve"> PAGE  \* MERGEFORMAT </w:instrText>
    </w:r>
    <w:r>
      <w:fldChar w:fldCharType="separate"/>
    </w:r>
    <w:r w:rsidR="00431877">
      <w:rPr>
        <w:noProof/>
      </w:rPr>
      <w:t>4</w:t>
    </w:r>
    <w:r>
      <w:fldChar w:fldCharType="end"/>
    </w:r>
  </w:p>
  <w:p w14:paraId="2550E195" w14:textId="59913217" w:rsidR="00E83D45" w:rsidRPr="00C72D5C" w:rsidRDefault="004A4E6E" w:rsidP="00E83D45">
    <w:pPr>
      <w:pStyle w:val="Header"/>
    </w:pPr>
    <w:r>
      <w:t>Addéndum 32 al</w:t>
    </w:r>
    <w:r>
      <w:br/>
      <w:t>Documento 36-S</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51CA3404"/>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11FC519C"/>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A8C96E4"/>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B09618AA"/>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047C43E0"/>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782EFAB2"/>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0AE6C6A"/>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8BE8B48A"/>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54386588"/>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EEC469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FFFFFFFE"/>
    <w:multiLevelType w:val="singleLevel"/>
    <w:tmpl w:val="B39284A0"/>
    <w:lvl w:ilvl="0">
      <w:numFmt w:val="decimal"/>
      <w:lvlText w:val="*"/>
      <w:lvlJc w:val="left"/>
    </w:lvl>
  </w:abstractNum>
  <w:abstractNum w:abstractNumId="11" w15:restartNumberingAfterBreak="0">
    <w:nsid w:val="16770D08"/>
    <w:multiLevelType w:val="hybridMultilevel"/>
    <w:tmpl w:val="A31C09BC"/>
    <w:lvl w:ilvl="0" w:tplc="386E3870">
      <w:start w:val="1"/>
      <w:numFmt w:val="decimal"/>
      <w:lvlText w:val="%1"/>
      <w:lvlJc w:val="left"/>
      <w:pPr>
        <w:ind w:left="1150" w:hanging="79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1EF41DDE"/>
    <w:multiLevelType w:val="hybridMultilevel"/>
    <w:tmpl w:val="9E5474D2"/>
    <w:lvl w:ilvl="0" w:tplc="557AB356">
      <w:start w:val="1"/>
      <w:numFmt w:val="decimal"/>
      <w:lvlText w:val="%1"/>
      <w:lvlJc w:val="left"/>
      <w:pPr>
        <w:ind w:left="1150" w:hanging="79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2B895057"/>
    <w:multiLevelType w:val="hybridMultilevel"/>
    <w:tmpl w:val="121ACFD6"/>
    <w:lvl w:ilvl="0" w:tplc="3856A442">
      <w:start w:val="1"/>
      <w:numFmt w:val="decimal"/>
      <w:lvlText w:val="%1"/>
      <w:lvlJc w:val="left"/>
      <w:pPr>
        <w:ind w:left="1150" w:hanging="79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300274E4"/>
    <w:multiLevelType w:val="hybridMultilevel"/>
    <w:tmpl w:val="E1A03404"/>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44972767"/>
    <w:multiLevelType w:val="hybridMultilevel"/>
    <w:tmpl w:val="24A644B4"/>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8"/>
  </w:num>
  <w:num w:numId="2">
    <w:abstractNumId w:val="10"/>
    <w:lvlOverride w:ilvl="0">
      <w:lvl w:ilvl="0">
        <w:start w:val="1"/>
        <w:numFmt w:val="bullet"/>
        <w:lvlText w:val=""/>
        <w:legacy w:legacy="1" w:legacySpace="0" w:legacyIndent="283"/>
        <w:lvlJc w:val="left"/>
        <w:pPr>
          <w:ind w:left="283" w:hanging="283"/>
        </w:pPr>
        <w:rPr>
          <w:rFonts w:ascii="Symbol" w:hAnsi="Symbol" w:hint="default"/>
        </w:rPr>
      </w:lvl>
    </w:lvlOverride>
  </w:num>
  <w:num w:numId="3">
    <w:abstractNumId w:val="9"/>
  </w:num>
  <w:num w:numId="4">
    <w:abstractNumId w:val="7"/>
  </w:num>
  <w:num w:numId="5">
    <w:abstractNumId w:val="6"/>
  </w:num>
  <w:num w:numId="6">
    <w:abstractNumId w:val="5"/>
  </w:num>
  <w:num w:numId="7">
    <w:abstractNumId w:val="4"/>
  </w:num>
  <w:num w:numId="8">
    <w:abstractNumId w:val="3"/>
  </w:num>
  <w:num w:numId="9">
    <w:abstractNumId w:val="2"/>
  </w:num>
  <w:num w:numId="10">
    <w:abstractNumId w:val="1"/>
  </w:num>
  <w:num w:numId="11">
    <w:abstractNumId w:val="0"/>
  </w:num>
  <w:num w:numId="12">
    <w:abstractNumId w:val="14"/>
  </w:num>
  <w:num w:numId="13">
    <w:abstractNumId w:val="15"/>
  </w:num>
  <w:num w:numId="14">
    <w:abstractNumId w:val="13"/>
  </w:num>
  <w:num w:numId="15">
    <w:abstractNumId w:val="12"/>
  </w:num>
  <w:num w:numId="16">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40"/>
  <w:displayBackgroundShape/>
  <w:printFractionalCharacterWidth/>
  <w:activeWritingStyle w:appName="MSWord" w:lang="es-ES_tradnl" w:vendorID="64" w:dllVersion="6" w:nlCheck="1" w:checkStyle="0"/>
  <w:activeWritingStyle w:appName="MSWord" w:lang="fr-CH" w:vendorID="64" w:dllVersion="6" w:nlCheck="1" w:checkStyle="0"/>
  <w:activeWritingStyle w:appName="MSWord" w:lang="es-ES_tradnl" w:vendorID="64" w:dllVersion="0" w:nlCheck="1" w:checkStyle="0"/>
  <w:activeWritingStyle w:appName="MSWord" w:lang="fr-CH" w:vendorID="64" w:dllVersion="0" w:nlCheck="1" w:checkStyle="0"/>
  <w:activeWritingStyle w:appName="MSWord" w:lang="fr-FR" w:vendorID="64" w:dllVersion="0" w:nlCheck="1" w:checkStyle="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formatting="1" w:enforcement="0"/>
  <w:defaultTabStop w:val="720"/>
  <w:doNotHyphenateCaps/>
  <w:drawingGridHorizontalSpacing w:val="120"/>
  <w:drawingGridVerticalSpacing w:val="120"/>
  <w:displayVerticalDrawingGridEvery w:val="0"/>
  <w:doNotUseMarginsForDrawingGridOrigin/>
  <w:doNotShadeFormData/>
  <w:noPunctuationKerning/>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8017B"/>
    <w:rsid w:val="000121A4"/>
    <w:rsid w:val="00023137"/>
    <w:rsid w:val="0002785D"/>
    <w:rsid w:val="00032BBF"/>
    <w:rsid w:val="00057296"/>
    <w:rsid w:val="00077B74"/>
    <w:rsid w:val="00087AE8"/>
    <w:rsid w:val="000A5B9A"/>
    <w:rsid w:val="000C7758"/>
    <w:rsid w:val="000E5BF9"/>
    <w:rsid w:val="000E5C9A"/>
    <w:rsid w:val="000E5EE9"/>
    <w:rsid w:val="000F0E6D"/>
    <w:rsid w:val="00107738"/>
    <w:rsid w:val="00120191"/>
    <w:rsid w:val="00121170"/>
    <w:rsid w:val="00123819"/>
    <w:rsid w:val="00123CC5"/>
    <w:rsid w:val="0015142D"/>
    <w:rsid w:val="001616DC"/>
    <w:rsid w:val="00163962"/>
    <w:rsid w:val="00191A97"/>
    <w:rsid w:val="001A083F"/>
    <w:rsid w:val="001C41FA"/>
    <w:rsid w:val="001D380F"/>
    <w:rsid w:val="001D440E"/>
    <w:rsid w:val="001E2B52"/>
    <w:rsid w:val="001E3F27"/>
    <w:rsid w:val="001F20F0"/>
    <w:rsid w:val="0021371A"/>
    <w:rsid w:val="002337D9"/>
    <w:rsid w:val="00236D2A"/>
    <w:rsid w:val="00251FA7"/>
    <w:rsid w:val="00255F12"/>
    <w:rsid w:val="00262C09"/>
    <w:rsid w:val="00263815"/>
    <w:rsid w:val="0028017B"/>
    <w:rsid w:val="00286495"/>
    <w:rsid w:val="002A791F"/>
    <w:rsid w:val="002C1B26"/>
    <w:rsid w:val="002C79B8"/>
    <w:rsid w:val="002E5627"/>
    <w:rsid w:val="002E701F"/>
    <w:rsid w:val="00305FD9"/>
    <w:rsid w:val="003237B0"/>
    <w:rsid w:val="003248A9"/>
    <w:rsid w:val="00324FFA"/>
    <w:rsid w:val="0032680B"/>
    <w:rsid w:val="00363A65"/>
    <w:rsid w:val="00377EC9"/>
    <w:rsid w:val="003B1E8C"/>
    <w:rsid w:val="003C2508"/>
    <w:rsid w:val="003D0AA3"/>
    <w:rsid w:val="003F036D"/>
    <w:rsid w:val="004104AC"/>
    <w:rsid w:val="00431877"/>
    <w:rsid w:val="00454553"/>
    <w:rsid w:val="0046753D"/>
    <w:rsid w:val="00476FB2"/>
    <w:rsid w:val="004A4E6E"/>
    <w:rsid w:val="004B124A"/>
    <w:rsid w:val="004B520A"/>
    <w:rsid w:val="004C3636"/>
    <w:rsid w:val="004C3A5A"/>
    <w:rsid w:val="00507C36"/>
    <w:rsid w:val="0051705A"/>
    <w:rsid w:val="00523269"/>
    <w:rsid w:val="00526602"/>
    <w:rsid w:val="00532097"/>
    <w:rsid w:val="00566BEE"/>
    <w:rsid w:val="0058350F"/>
    <w:rsid w:val="005A374D"/>
    <w:rsid w:val="005C475F"/>
    <w:rsid w:val="005D38DC"/>
    <w:rsid w:val="005E782D"/>
    <w:rsid w:val="005F2605"/>
    <w:rsid w:val="00646147"/>
    <w:rsid w:val="00662039"/>
    <w:rsid w:val="00662BA0"/>
    <w:rsid w:val="00681766"/>
    <w:rsid w:val="00692AAE"/>
    <w:rsid w:val="006B0F54"/>
    <w:rsid w:val="006D6E67"/>
    <w:rsid w:val="006E0078"/>
    <w:rsid w:val="006E1A13"/>
    <w:rsid w:val="006E76B9"/>
    <w:rsid w:val="00701C20"/>
    <w:rsid w:val="00702F3D"/>
    <w:rsid w:val="0070518E"/>
    <w:rsid w:val="00734034"/>
    <w:rsid w:val="007354E9"/>
    <w:rsid w:val="00765578"/>
    <w:rsid w:val="0077084A"/>
    <w:rsid w:val="00776E3D"/>
    <w:rsid w:val="00786250"/>
    <w:rsid w:val="00790506"/>
    <w:rsid w:val="007952C7"/>
    <w:rsid w:val="007C2317"/>
    <w:rsid w:val="007C39FA"/>
    <w:rsid w:val="007D330A"/>
    <w:rsid w:val="007E5A28"/>
    <w:rsid w:val="007E667F"/>
    <w:rsid w:val="00866AE6"/>
    <w:rsid w:val="00866BBD"/>
    <w:rsid w:val="00873B75"/>
    <w:rsid w:val="008750A8"/>
    <w:rsid w:val="00886655"/>
    <w:rsid w:val="00894DCB"/>
    <w:rsid w:val="008E35DA"/>
    <w:rsid w:val="008E4453"/>
    <w:rsid w:val="0090121B"/>
    <w:rsid w:val="009123F4"/>
    <w:rsid w:val="009144C9"/>
    <w:rsid w:val="00916196"/>
    <w:rsid w:val="0094091F"/>
    <w:rsid w:val="0094505C"/>
    <w:rsid w:val="00973754"/>
    <w:rsid w:val="0097673E"/>
    <w:rsid w:val="00990278"/>
    <w:rsid w:val="009A137D"/>
    <w:rsid w:val="009B0563"/>
    <w:rsid w:val="009C018C"/>
    <w:rsid w:val="009C0BED"/>
    <w:rsid w:val="009E11EC"/>
    <w:rsid w:val="009F6A67"/>
    <w:rsid w:val="00A118DB"/>
    <w:rsid w:val="00A24AC0"/>
    <w:rsid w:val="00A4450C"/>
    <w:rsid w:val="00A55F2D"/>
    <w:rsid w:val="00AA1D6C"/>
    <w:rsid w:val="00AA5E6C"/>
    <w:rsid w:val="00AB4E90"/>
    <w:rsid w:val="00AE5677"/>
    <w:rsid w:val="00AE658F"/>
    <w:rsid w:val="00AF2F78"/>
    <w:rsid w:val="00B07178"/>
    <w:rsid w:val="00B1727C"/>
    <w:rsid w:val="00B173B3"/>
    <w:rsid w:val="00B257B2"/>
    <w:rsid w:val="00B51263"/>
    <w:rsid w:val="00B52D55"/>
    <w:rsid w:val="00B61807"/>
    <w:rsid w:val="00B627DD"/>
    <w:rsid w:val="00B75455"/>
    <w:rsid w:val="00B8288C"/>
    <w:rsid w:val="00B9677E"/>
    <w:rsid w:val="00BD5FE4"/>
    <w:rsid w:val="00BE2E80"/>
    <w:rsid w:val="00BE5EDD"/>
    <w:rsid w:val="00BE6A1F"/>
    <w:rsid w:val="00C126C4"/>
    <w:rsid w:val="00C14A6B"/>
    <w:rsid w:val="00C25B5B"/>
    <w:rsid w:val="00C36ACC"/>
    <w:rsid w:val="00C52088"/>
    <w:rsid w:val="00C614DC"/>
    <w:rsid w:val="00C63EB5"/>
    <w:rsid w:val="00C66B2F"/>
    <w:rsid w:val="00C71DEC"/>
    <w:rsid w:val="00C72410"/>
    <w:rsid w:val="00C858D0"/>
    <w:rsid w:val="00CA1F40"/>
    <w:rsid w:val="00CB35C9"/>
    <w:rsid w:val="00CC01E0"/>
    <w:rsid w:val="00CD1851"/>
    <w:rsid w:val="00CD5FEE"/>
    <w:rsid w:val="00CD663E"/>
    <w:rsid w:val="00CE60D2"/>
    <w:rsid w:val="00D0288A"/>
    <w:rsid w:val="00D5515E"/>
    <w:rsid w:val="00D56781"/>
    <w:rsid w:val="00D72A5D"/>
    <w:rsid w:val="00DC629B"/>
    <w:rsid w:val="00E05BFF"/>
    <w:rsid w:val="00E21778"/>
    <w:rsid w:val="00E262F1"/>
    <w:rsid w:val="00E32BEE"/>
    <w:rsid w:val="00E47B44"/>
    <w:rsid w:val="00E71D14"/>
    <w:rsid w:val="00E8097C"/>
    <w:rsid w:val="00E83D45"/>
    <w:rsid w:val="00E83DE3"/>
    <w:rsid w:val="00E91D30"/>
    <w:rsid w:val="00E94A4A"/>
    <w:rsid w:val="00EA7A47"/>
    <w:rsid w:val="00EE1779"/>
    <w:rsid w:val="00EF0D6D"/>
    <w:rsid w:val="00F0220A"/>
    <w:rsid w:val="00F02C63"/>
    <w:rsid w:val="00F13076"/>
    <w:rsid w:val="00F247BB"/>
    <w:rsid w:val="00F26F4E"/>
    <w:rsid w:val="00F324E4"/>
    <w:rsid w:val="00F54E0E"/>
    <w:rsid w:val="00F606A0"/>
    <w:rsid w:val="00F62AB3"/>
    <w:rsid w:val="00F63177"/>
    <w:rsid w:val="00F65089"/>
    <w:rsid w:val="00F66597"/>
    <w:rsid w:val="00F719FD"/>
    <w:rsid w:val="00F7212F"/>
    <w:rsid w:val="00F8150C"/>
    <w:rsid w:val="00FC241D"/>
    <w:rsid w:val="00FC3528"/>
    <w:rsid w:val="00FD5B74"/>
    <w:rsid w:val="00FD5C8C"/>
    <w:rsid w:val="00FE161E"/>
    <w:rsid w:val="00FE20EC"/>
    <w:rsid w:val="00FE4574"/>
    <w:rsid w:val="00FF0475"/>
    <w:rsid w:val="00FF4088"/>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8193"/>
    <o:shapelayout v:ext="edit">
      <o:idmap v:ext="edit" data="1"/>
    </o:shapelayout>
  </w:shapeDefaults>
  <w:decimalSymbol w:val="."/>
  <w:listSeparator w:val=","/>
  <w14:docId w14:val="5F061800"/>
  <w15:docId w15:val="{304D50CB-01AA-45EF-BBE4-6680C523912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w:eastAsia="Times New Roman" w:hAnsi="Times" w:cs="Times New Roman"/>
        <w:lang w:val="en-US" w:eastAsia="zh-CN"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AA1D6C"/>
    <w:pPr>
      <w:tabs>
        <w:tab w:val="left" w:pos="794"/>
        <w:tab w:val="left" w:pos="1191"/>
        <w:tab w:val="left" w:pos="1588"/>
        <w:tab w:val="left" w:pos="1985"/>
      </w:tabs>
      <w:overflowPunct w:val="0"/>
      <w:autoSpaceDE w:val="0"/>
      <w:autoSpaceDN w:val="0"/>
      <w:adjustRightInd w:val="0"/>
      <w:spacing w:before="120"/>
      <w:textAlignment w:val="baseline"/>
    </w:pPr>
    <w:rPr>
      <w:rFonts w:ascii="Times New Roman" w:hAnsi="Times New Roman"/>
      <w:sz w:val="24"/>
      <w:lang w:val="es-ES_tradnl" w:eastAsia="en-US"/>
    </w:rPr>
  </w:style>
  <w:style w:type="paragraph" w:styleId="Heading1">
    <w:name w:val="heading 1"/>
    <w:basedOn w:val="Normal"/>
    <w:next w:val="Normal"/>
    <w:qFormat/>
    <w:pPr>
      <w:keepNext/>
      <w:keepLines/>
      <w:spacing w:before="280"/>
      <w:ind w:left="1134" w:hanging="1134"/>
      <w:outlineLvl w:val="0"/>
    </w:pPr>
    <w:rPr>
      <w:b/>
      <w:sz w:val="28"/>
    </w:rPr>
  </w:style>
  <w:style w:type="paragraph" w:styleId="Heading2">
    <w:name w:val="heading 2"/>
    <w:basedOn w:val="Heading1"/>
    <w:next w:val="Normal"/>
    <w:qFormat/>
    <w:pPr>
      <w:spacing w:before="200"/>
      <w:outlineLvl w:val="1"/>
    </w:pPr>
    <w:rPr>
      <w:sz w:val="24"/>
    </w:rPr>
  </w:style>
  <w:style w:type="paragraph" w:styleId="Heading3">
    <w:name w:val="heading 3"/>
    <w:basedOn w:val="Heading1"/>
    <w:next w:val="Normal"/>
    <w:qFormat/>
    <w:pPr>
      <w:spacing w:before="200"/>
      <w:outlineLvl w:val="2"/>
    </w:pPr>
    <w:rPr>
      <w:sz w:val="24"/>
    </w:rPr>
  </w:style>
  <w:style w:type="paragraph" w:styleId="Heading4">
    <w:name w:val="heading 4"/>
    <w:basedOn w:val="Heading3"/>
    <w:next w:val="Normal"/>
    <w:qFormat/>
    <w:pPr>
      <w:outlineLvl w:val="3"/>
    </w:pPr>
  </w:style>
  <w:style w:type="paragraph" w:styleId="Heading5">
    <w:name w:val="heading 5"/>
    <w:basedOn w:val="Heading4"/>
    <w:next w:val="Normal"/>
    <w:qFormat/>
    <w:pPr>
      <w:outlineLvl w:val="4"/>
    </w:pPr>
  </w:style>
  <w:style w:type="paragraph" w:styleId="Heading6">
    <w:name w:val="heading 6"/>
    <w:basedOn w:val="Heading4"/>
    <w:next w:val="Normal"/>
    <w:qFormat/>
    <w:pPr>
      <w:outlineLvl w:val="5"/>
    </w:pPr>
  </w:style>
  <w:style w:type="paragraph" w:styleId="Heading7">
    <w:name w:val="heading 7"/>
    <w:basedOn w:val="Heading6"/>
    <w:next w:val="Normal"/>
    <w:qFormat/>
    <w:pPr>
      <w:outlineLvl w:val="6"/>
    </w:pPr>
  </w:style>
  <w:style w:type="paragraph" w:styleId="Heading8">
    <w:name w:val="heading 8"/>
    <w:basedOn w:val="Heading6"/>
    <w:next w:val="Normal"/>
    <w:qFormat/>
    <w:pPr>
      <w:outlineLvl w:val="7"/>
    </w:pPr>
  </w:style>
  <w:style w:type="paragraph" w:styleId="Heading9">
    <w:name w:val="heading 9"/>
    <w:basedOn w:val="Heading6"/>
    <w:next w:val="Normal"/>
    <w:qFormat/>
    <w:p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nnexNo">
    <w:name w:val="Annex_No"/>
    <w:basedOn w:val="Normal"/>
    <w:next w:val="Annexref"/>
    <w:pPr>
      <w:keepNext/>
      <w:keepLines/>
      <w:spacing w:before="480" w:after="80"/>
      <w:jc w:val="center"/>
    </w:pPr>
    <w:rPr>
      <w:caps/>
      <w:sz w:val="28"/>
    </w:rPr>
  </w:style>
  <w:style w:type="paragraph" w:customStyle="1" w:styleId="Annexref">
    <w:name w:val="Annex_ref"/>
    <w:basedOn w:val="Normal"/>
    <w:next w:val="Annextitle"/>
    <w:pPr>
      <w:keepNext/>
      <w:keepLines/>
      <w:spacing w:after="280"/>
      <w:jc w:val="center"/>
    </w:pPr>
  </w:style>
  <w:style w:type="paragraph" w:customStyle="1" w:styleId="Annextitle">
    <w:name w:val="Annex_title"/>
    <w:basedOn w:val="Normal"/>
    <w:next w:val="Normalaftertitle"/>
    <w:pPr>
      <w:keepNext/>
      <w:keepLines/>
      <w:spacing w:before="240" w:after="280"/>
      <w:jc w:val="center"/>
    </w:pPr>
    <w:rPr>
      <w:rFonts w:ascii="Times New Roman Bold" w:hAnsi="Times New Roman Bold"/>
      <w:b/>
      <w:sz w:val="28"/>
    </w:rPr>
  </w:style>
  <w:style w:type="paragraph" w:customStyle="1" w:styleId="AppendixNo">
    <w:name w:val="Appendix_No"/>
    <w:basedOn w:val="AnnexNo"/>
    <w:next w:val="Annexref"/>
  </w:style>
  <w:style w:type="paragraph" w:customStyle="1" w:styleId="Appendixref">
    <w:name w:val="Appendix_ref"/>
    <w:basedOn w:val="Annexref"/>
    <w:next w:val="Annextitle"/>
  </w:style>
  <w:style w:type="paragraph" w:customStyle="1" w:styleId="Appendixtitle">
    <w:name w:val="Appendix_title"/>
    <w:basedOn w:val="Annextitle"/>
    <w:next w:val="Normalaftertitle"/>
  </w:style>
  <w:style w:type="paragraph" w:customStyle="1" w:styleId="Call">
    <w:name w:val="Call"/>
    <w:basedOn w:val="Normal"/>
    <w:next w:val="Normal"/>
    <w:rsid w:val="00894DCB"/>
    <w:pPr>
      <w:keepNext/>
      <w:keepLines/>
      <w:spacing w:before="160"/>
      <w:ind w:left="794"/>
    </w:pPr>
    <w:rPr>
      <w:i/>
    </w:rPr>
  </w:style>
  <w:style w:type="paragraph" w:customStyle="1" w:styleId="ChapNo">
    <w:name w:val="Chap_No"/>
    <w:basedOn w:val="Normal"/>
    <w:next w:val="Chaptitle"/>
    <w:rsid w:val="00B75455"/>
    <w:pPr>
      <w:keepNext/>
      <w:keepLines/>
      <w:spacing w:before="480"/>
      <w:jc w:val="center"/>
    </w:pPr>
    <w:rPr>
      <w:rFonts w:ascii="Times New Roman Bold" w:hAnsi="Times New Roman Bold"/>
      <w:b/>
      <w:caps/>
      <w:sz w:val="28"/>
    </w:rPr>
  </w:style>
  <w:style w:type="paragraph" w:customStyle="1" w:styleId="Chaptitle">
    <w:name w:val="Chap_title"/>
    <w:basedOn w:val="Normal"/>
    <w:next w:val="Normalaftertitle"/>
    <w:rsid w:val="00B75455"/>
    <w:pPr>
      <w:keepNext/>
      <w:keepLines/>
      <w:spacing w:before="240"/>
      <w:jc w:val="center"/>
    </w:pPr>
    <w:rPr>
      <w:b/>
      <w:sz w:val="28"/>
    </w:rPr>
  </w:style>
  <w:style w:type="character" w:styleId="EndnoteReference">
    <w:name w:val="endnote reference"/>
    <w:basedOn w:val="DefaultParagraphFont"/>
    <w:semiHidden/>
    <w:rPr>
      <w:vertAlign w:val="superscript"/>
    </w:rPr>
  </w:style>
  <w:style w:type="paragraph" w:customStyle="1" w:styleId="enumlev1">
    <w:name w:val="enumlev1"/>
    <w:basedOn w:val="Normal"/>
    <w:rsid w:val="00894DCB"/>
    <w:pPr>
      <w:tabs>
        <w:tab w:val="left" w:pos="2608"/>
        <w:tab w:val="left" w:pos="3345"/>
      </w:tabs>
      <w:spacing w:before="80"/>
      <w:ind w:left="794" w:hanging="794"/>
    </w:pPr>
  </w:style>
  <w:style w:type="paragraph" w:customStyle="1" w:styleId="enumlev2">
    <w:name w:val="enumlev2"/>
    <w:basedOn w:val="enumlev1"/>
    <w:rsid w:val="00894DCB"/>
    <w:pPr>
      <w:ind w:left="1191" w:hanging="397"/>
    </w:pPr>
  </w:style>
  <w:style w:type="paragraph" w:customStyle="1" w:styleId="enumlev3">
    <w:name w:val="enumlev3"/>
    <w:basedOn w:val="enumlev2"/>
    <w:rsid w:val="00894DCB"/>
    <w:pPr>
      <w:ind w:left="1588"/>
    </w:pPr>
  </w:style>
  <w:style w:type="paragraph" w:customStyle="1" w:styleId="Equation">
    <w:name w:val="Equation"/>
    <w:basedOn w:val="Normal"/>
    <w:pPr>
      <w:tabs>
        <w:tab w:val="center" w:pos="4820"/>
        <w:tab w:val="right" w:pos="9639"/>
      </w:tabs>
    </w:pPr>
  </w:style>
  <w:style w:type="paragraph" w:styleId="NormalIndent">
    <w:name w:val="Normal Indent"/>
    <w:basedOn w:val="Normal"/>
    <w:pPr>
      <w:ind w:left="1134"/>
    </w:pPr>
  </w:style>
  <w:style w:type="paragraph" w:customStyle="1" w:styleId="Equationlegend">
    <w:name w:val="Equation_legend"/>
    <w:basedOn w:val="NormalIndent"/>
    <w:pPr>
      <w:tabs>
        <w:tab w:val="right" w:pos="1871"/>
        <w:tab w:val="left" w:pos="2041"/>
      </w:tabs>
      <w:spacing w:before="80"/>
      <w:ind w:left="2041" w:hanging="2041"/>
    </w:pPr>
  </w:style>
  <w:style w:type="paragraph" w:customStyle="1" w:styleId="Figurelegend">
    <w:name w:val="Figure_legend"/>
    <w:basedOn w:val="Normal"/>
    <w:pPr>
      <w:keepNext/>
      <w:keepLines/>
      <w:spacing w:before="20" w:after="20"/>
    </w:pPr>
    <w:rPr>
      <w:sz w:val="18"/>
    </w:rPr>
  </w:style>
  <w:style w:type="paragraph" w:customStyle="1" w:styleId="FigureNo">
    <w:name w:val="Figure_No"/>
    <w:basedOn w:val="Normal"/>
    <w:next w:val="Figuretitle"/>
    <w:rsid w:val="00916196"/>
    <w:pPr>
      <w:keepNext/>
      <w:keepLines/>
      <w:spacing w:before="480" w:after="120"/>
      <w:jc w:val="center"/>
    </w:pPr>
    <w:rPr>
      <w:caps/>
    </w:rPr>
  </w:style>
  <w:style w:type="paragraph" w:customStyle="1" w:styleId="Figuretitle">
    <w:name w:val="Figure_title"/>
    <w:basedOn w:val="Normal"/>
    <w:next w:val="Normal"/>
    <w:rsid w:val="00B627DD"/>
    <w:pPr>
      <w:spacing w:after="480"/>
      <w:jc w:val="center"/>
    </w:pPr>
    <w:rPr>
      <w:b/>
    </w:rPr>
  </w:style>
  <w:style w:type="paragraph" w:customStyle="1" w:styleId="Figurewithouttitle">
    <w:name w:val="Figure_without_title"/>
    <w:basedOn w:val="FigureNo"/>
    <w:next w:val="Normal"/>
    <w:pPr>
      <w:keepNext w:val="0"/>
    </w:pPr>
  </w:style>
  <w:style w:type="paragraph" w:styleId="Footer">
    <w:name w:val="footer"/>
    <w:basedOn w:val="Normal"/>
    <w:link w:val="FooterChar"/>
    <w:pPr>
      <w:tabs>
        <w:tab w:val="left" w:pos="5954"/>
        <w:tab w:val="right" w:pos="9639"/>
      </w:tabs>
      <w:spacing w:before="0"/>
    </w:pPr>
    <w:rPr>
      <w:caps/>
      <w:noProof/>
      <w:sz w:val="16"/>
    </w:rPr>
  </w:style>
  <w:style w:type="paragraph" w:customStyle="1" w:styleId="FirstFooter">
    <w:name w:val="FirstFooter"/>
    <w:basedOn w:val="Footer"/>
    <w:pPr>
      <w:tabs>
        <w:tab w:val="clear" w:pos="5954"/>
        <w:tab w:val="clear" w:pos="9639"/>
      </w:tabs>
      <w:overflowPunct/>
      <w:autoSpaceDE/>
      <w:autoSpaceDN/>
      <w:adjustRightInd/>
      <w:spacing w:before="40"/>
      <w:textAlignment w:val="auto"/>
    </w:pPr>
    <w:rPr>
      <w:caps w:val="0"/>
      <w:noProof w:val="0"/>
    </w:rPr>
  </w:style>
  <w:style w:type="character" w:styleId="FootnoteReference">
    <w:name w:val="footnote reference"/>
    <w:basedOn w:val="DefaultParagraphFont"/>
    <w:rPr>
      <w:position w:val="6"/>
      <w:sz w:val="18"/>
    </w:rPr>
  </w:style>
  <w:style w:type="paragraph" w:styleId="FootnoteText">
    <w:name w:val="footnote text"/>
    <w:basedOn w:val="Normal"/>
    <w:pPr>
      <w:keepLines/>
      <w:tabs>
        <w:tab w:val="left" w:pos="255"/>
      </w:tabs>
    </w:pPr>
  </w:style>
  <w:style w:type="paragraph" w:styleId="Header">
    <w:name w:val="header"/>
    <w:basedOn w:val="Normal"/>
    <w:link w:val="HeaderChar"/>
    <w:pPr>
      <w:spacing w:before="0"/>
      <w:jc w:val="center"/>
    </w:pPr>
    <w:rPr>
      <w:sz w:val="18"/>
    </w:rPr>
  </w:style>
  <w:style w:type="paragraph" w:customStyle="1" w:styleId="Headingb">
    <w:name w:val="Heading_b"/>
    <w:basedOn w:val="Normal"/>
    <w:next w:val="Normal"/>
    <w:rsid w:val="00C858D0"/>
    <w:pPr>
      <w:keepNext/>
      <w:spacing w:before="160"/>
    </w:pPr>
    <w:rPr>
      <w:rFonts w:ascii="Times" w:hAnsi="Times"/>
      <w:b/>
    </w:rPr>
  </w:style>
  <w:style w:type="paragraph" w:customStyle="1" w:styleId="Headingi">
    <w:name w:val="Heading_i"/>
    <w:basedOn w:val="Normal"/>
    <w:next w:val="Normal"/>
    <w:pPr>
      <w:keepNext/>
      <w:spacing w:before="160"/>
    </w:pPr>
    <w:rPr>
      <w:rFonts w:ascii="Times" w:hAnsi="Times"/>
      <w:i/>
    </w:rPr>
  </w:style>
  <w:style w:type="paragraph" w:customStyle="1" w:styleId="Normalaftertitle">
    <w:name w:val="Normal after title"/>
    <w:basedOn w:val="Normal"/>
    <w:next w:val="Normal"/>
    <w:pPr>
      <w:spacing w:before="280"/>
    </w:pPr>
  </w:style>
  <w:style w:type="paragraph" w:customStyle="1" w:styleId="Note">
    <w:name w:val="Note"/>
    <w:basedOn w:val="Normal"/>
    <w:pPr>
      <w:tabs>
        <w:tab w:val="left" w:pos="284"/>
      </w:tabs>
      <w:spacing w:before="80"/>
    </w:pPr>
  </w:style>
  <w:style w:type="paragraph" w:customStyle="1" w:styleId="PartNo">
    <w:name w:val="Part_No"/>
    <w:basedOn w:val="AnnexNo"/>
    <w:next w:val="Normal"/>
  </w:style>
  <w:style w:type="paragraph" w:customStyle="1" w:styleId="Parttitle">
    <w:name w:val="Part_title"/>
    <w:basedOn w:val="Annextitle"/>
    <w:next w:val="Normalaftertitle"/>
  </w:style>
  <w:style w:type="paragraph" w:customStyle="1" w:styleId="RecNo">
    <w:name w:val="Rec_No"/>
    <w:basedOn w:val="Normal"/>
    <w:next w:val="Rectitle"/>
    <w:rsid w:val="00BD5FE4"/>
    <w:pPr>
      <w:keepNext/>
      <w:keepLines/>
      <w:spacing w:before="480"/>
    </w:pPr>
    <w:rPr>
      <w:rFonts w:ascii="Times New Roman Bold" w:hAnsi="Times New Roman Bold" w:cs="Times New Roman Bold"/>
      <w:b/>
      <w:sz w:val="28"/>
    </w:rPr>
  </w:style>
  <w:style w:type="paragraph" w:customStyle="1" w:styleId="Rectitle">
    <w:name w:val="Rec_title"/>
    <w:basedOn w:val="RecNo"/>
    <w:next w:val="Recref"/>
    <w:rsid w:val="00BD5FE4"/>
    <w:pPr>
      <w:spacing w:before="240"/>
      <w:jc w:val="center"/>
    </w:pPr>
    <w:rPr>
      <w:bCs/>
    </w:rPr>
  </w:style>
  <w:style w:type="paragraph" w:customStyle="1" w:styleId="Recref">
    <w:name w:val="Rec_ref"/>
    <w:basedOn w:val="Rectitle"/>
    <w:next w:val="Recdate"/>
    <w:rsid w:val="00FD5C8C"/>
    <w:pPr>
      <w:spacing w:before="120"/>
    </w:pPr>
    <w:rPr>
      <w:rFonts w:ascii="Times New Roman" w:hAnsi="Times New Roman"/>
      <w:b w:val="0"/>
      <w:i/>
      <w:sz w:val="24"/>
    </w:rPr>
  </w:style>
  <w:style w:type="paragraph" w:customStyle="1" w:styleId="Recdate">
    <w:name w:val="Rec_date"/>
    <w:basedOn w:val="Recref"/>
    <w:next w:val="Normalaftertitle"/>
    <w:rsid w:val="000121A4"/>
  </w:style>
  <w:style w:type="paragraph" w:customStyle="1" w:styleId="Questiondate">
    <w:name w:val="Question_date"/>
    <w:basedOn w:val="Recdate"/>
    <w:next w:val="Normalaftertitle"/>
  </w:style>
  <w:style w:type="paragraph" w:customStyle="1" w:styleId="QuestionNo">
    <w:name w:val="Question_No"/>
    <w:basedOn w:val="ResNo"/>
    <w:next w:val="Questiontitle"/>
  </w:style>
  <w:style w:type="paragraph" w:customStyle="1" w:styleId="Questiontitle">
    <w:name w:val="Question_title"/>
    <w:basedOn w:val="Rectitle"/>
    <w:next w:val="Normal"/>
  </w:style>
  <w:style w:type="paragraph" w:customStyle="1" w:styleId="Resdate">
    <w:name w:val="Res_date"/>
    <w:basedOn w:val="Recdate"/>
    <w:next w:val="Normalaftertitle"/>
  </w:style>
  <w:style w:type="paragraph" w:customStyle="1" w:styleId="ResNo">
    <w:name w:val="Res_No"/>
    <w:basedOn w:val="Normal"/>
    <w:next w:val="Normal"/>
    <w:link w:val="ResNoChar"/>
    <w:rsid w:val="00E8097C"/>
    <w:pPr>
      <w:spacing w:before="480"/>
      <w:jc w:val="center"/>
    </w:pPr>
    <w:rPr>
      <w:caps/>
      <w:sz w:val="28"/>
    </w:rPr>
  </w:style>
  <w:style w:type="paragraph" w:customStyle="1" w:styleId="Resref">
    <w:name w:val="Res_ref"/>
    <w:basedOn w:val="Recref"/>
    <w:next w:val="Resdate"/>
  </w:style>
  <w:style w:type="character" w:customStyle="1" w:styleId="Resdef">
    <w:name w:val="Res_def"/>
    <w:basedOn w:val="DefaultParagraphFont"/>
    <w:rPr>
      <w:rFonts w:ascii="Times New Roman" w:hAnsi="Times New Roman"/>
      <w:b/>
    </w:rPr>
  </w:style>
  <w:style w:type="character" w:styleId="PageNumber">
    <w:name w:val="page number"/>
    <w:basedOn w:val="DefaultParagraphFont"/>
  </w:style>
  <w:style w:type="paragraph" w:customStyle="1" w:styleId="Reasons">
    <w:name w:val="Reasons"/>
    <w:basedOn w:val="Normal"/>
    <w:qFormat/>
  </w:style>
  <w:style w:type="paragraph" w:customStyle="1" w:styleId="Proposal">
    <w:name w:val="Proposal"/>
    <w:basedOn w:val="Normal"/>
    <w:next w:val="Normal"/>
    <w:rsid w:val="00894DCB"/>
    <w:pPr>
      <w:keepNext/>
      <w:tabs>
        <w:tab w:val="clear" w:pos="794"/>
        <w:tab w:val="clear" w:pos="1191"/>
        <w:tab w:val="clear" w:pos="1588"/>
        <w:tab w:val="clear" w:pos="1985"/>
        <w:tab w:val="left" w:pos="1134"/>
      </w:tabs>
      <w:spacing w:before="240"/>
    </w:pPr>
    <w:rPr>
      <w:rFonts w:hAnsi="Times New Roman Bold"/>
      <w:b/>
    </w:rPr>
  </w:style>
  <w:style w:type="paragraph" w:customStyle="1" w:styleId="Figure">
    <w:name w:val="Figure"/>
    <w:basedOn w:val="Normal"/>
    <w:next w:val="Figuretitle"/>
    <w:pPr>
      <w:keepNext/>
      <w:keepLines/>
      <w:jc w:val="center"/>
    </w:pPr>
  </w:style>
  <w:style w:type="paragraph" w:customStyle="1" w:styleId="Agendaitem">
    <w:name w:val="Agenda_item"/>
    <w:basedOn w:val="Normal"/>
    <w:next w:val="Normalaftertitle"/>
    <w:qFormat/>
    <w:rsid w:val="002E701F"/>
    <w:pPr>
      <w:overflowPunct/>
      <w:autoSpaceDE/>
      <w:autoSpaceDN/>
      <w:adjustRightInd/>
      <w:spacing w:before="240"/>
      <w:jc w:val="center"/>
      <w:textAlignment w:val="auto"/>
    </w:pPr>
    <w:rPr>
      <w:sz w:val="28"/>
    </w:rPr>
  </w:style>
  <w:style w:type="paragraph" w:customStyle="1" w:styleId="Part1">
    <w:name w:val="Part_1"/>
    <w:basedOn w:val="Normal"/>
    <w:qFormat/>
    <w:rsid w:val="002E701F"/>
    <w:pPr>
      <w:tabs>
        <w:tab w:val="center" w:pos="4820"/>
      </w:tabs>
      <w:spacing w:before="360"/>
      <w:jc w:val="center"/>
    </w:pPr>
    <w:rPr>
      <w:b/>
    </w:rPr>
  </w:style>
  <w:style w:type="paragraph" w:customStyle="1" w:styleId="Normalend">
    <w:name w:val="Normal_end"/>
    <w:basedOn w:val="Normal"/>
    <w:qFormat/>
    <w:rsid w:val="007C2317"/>
  </w:style>
  <w:style w:type="character" w:customStyle="1" w:styleId="Tablefreq">
    <w:name w:val="Table_freq"/>
    <w:basedOn w:val="DefaultParagraphFont"/>
    <w:rsid w:val="00973754"/>
    <w:rPr>
      <w:b/>
      <w:color w:val="auto"/>
      <w:sz w:val="20"/>
    </w:rPr>
  </w:style>
  <w:style w:type="paragraph" w:customStyle="1" w:styleId="Tabletext">
    <w:name w:val="Table_text"/>
    <w:basedOn w:val="Normal"/>
    <w:rsid w:val="00973754"/>
    <w:pPr>
      <w:tabs>
        <w:tab w:val="left" w:pos="284"/>
        <w:tab w:val="left" w:pos="567"/>
        <w:tab w:val="left" w:pos="851"/>
        <w:tab w:val="left" w:pos="1418"/>
        <w:tab w:val="left" w:pos="1701"/>
        <w:tab w:val="left" w:pos="2552"/>
        <w:tab w:val="left" w:pos="2835"/>
        <w:tab w:val="left" w:pos="3119"/>
        <w:tab w:val="left" w:pos="3402"/>
        <w:tab w:val="left" w:pos="3686"/>
        <w:tab w:val="left" w:pos="3969"/>
      </w:tabs>
      <w:spacing w:before="40" w:after="40"/>
    </w:pPr>
    <w:rPr>
      <w:sz w:val="20"/>
    </w:rPr>
  </w:style>
  <w:style w:type="paragraph" w:customStyle="1" w:styleId="Tablehead">
    <w:name w:val="Table_head"/>
    <w:basedOn w:val="Tabletext"/>
    <w:next w:val="Tabletext"/>
    <w:rsid w:val="00973754"/>
    <w:pPr>
      <w:keepNext/>
      <w:spacing w:before="80" w:after="80"/>
      <w:jc w:val="center"/>
    </w:pPr>
    <w:rPr>
      <w:b/>
    </w:rPr>
  </w:style>
  <w:style w:type="paragraph" w:customStyle="1" w:styleId="Tablelegend">
    <w:name w:val="Table_legend"/>
    <w:basedOn w:val="Tabletext"/>
    <w:rsid w:val="00973754"/>
    <w:pPr>
      <w:tabs>
        <w:tab w:val="clear" w:pos="284"/>
      </w:tabs>
      <w:spacing w:before="120"/>
    </w:pPr>
  </w:style>
  <w:style w:type="paragraph" w:customStyle="1" w:styleId="TableNo">
    <w:name w:val="Table_No"/>
    <w:basedOn w:val="Normal"/>
    <w:next w:val="Normal"/>
    <w:rsid w:val="00973754"/>
    <w:pPr>
      <w:keepNext/>
      <w:spacing w:before="560" w:after="120"/>
      <w:jc w:val="center"/>
    </w:pPr>
    <w:rPr>
      <w:caps/>
      <w:sz w:val="20"/>
    </w:rPr>
  </w:style>
  <w:style w:type="paragraph" w:customStyle="1" w:styleId="Tableref">
    <w:name w:val="Table_ref"/>
    <w:basedOn w:val="Normal"/>
    <w:next w:val="Normal"/>
    <w:rsid w:val="00973754"/>
    <w:pPr>
      <w:keepNext/>
      <w:spacing w:before="560"/>
      <w:jc w:val="center"/>
    </w:pPr>
    <w:rPr>
      <w:sz w:val="20"/>
    </w:rPr>
  </w:style>
  <w:style w:type="paragraph" w:customStyle="1" w:styleId="Tabletitle">
    <w:name w:val="Table_title"/>
    <w:basedOn w:val="Normal"/>
    <w:next w:val="Tabletext"/>
    <w:rsid w:val="00973754"/>
    <w:pPr>
      <w:keepNext/>
      <w:keepLines/>
      <w:spacing w:before="0" w:after="120"/>
      <w:jc w:val="center"/>
    </w:pPr>
    <w:rPr>
      <w:rFonts w:ascii="Times New Roman Bold" w:hAnsi="Times New Roman Bold"/>
      <w:b/>
      <w:sz w:val="20"/>
    </w:rPr>
  </w:style>
  <w:style w:type="paragraph" w:customStyle="1" w:styleId="Section1">
    <w:name w:val="Section_1"/>
    <w:basedOn w:val="Normal"/>
    <w:rsid w:val="004B124A"/>
    <w:pPr>
      <w:tabs>
        <w:tab w:val="center" w:pos="4820"/>
      </w:tabs>
      <w:spacing w:before="360"/>
      <w:jc w:val="center"/>
    </w:pPr>
    <w:rPr>
      <w:b/>
    </w:rPr>
  </w:style>
  <w:style w:type="paragraph" w:customStyle="1" w:styleId="Section2">
    <w:name w:val="Section_2"/>
    <w:basedOn w:val="Section1"/>
    <w:rsid w:val="004B124A"/>
    <w:rPr>
      <w:b w:val="0"/>
      <w:i/>
    </w:rPr>
  </w:style>
  <w:style w:type="paragraph" w:customStyle="1" w:styleId="Section3">
    <w:name w:val="Section_3"/>
    <w:basedOn w:val="Section1"/>
    <w:rsid w:val="004B124A"/>
    <w:rPr>
      <w:b w:val="0"/>
    </w:rPr>
  </w:style>
  <w:style w:type="paragraph" w:customStyle="1" w:styleId="SectionNo">
    <w:name w:val="Section_No"/>
    <w:basedOn w:val="AnnexNo"/>
    <w:next w:val="Normal"/>
    <w:rsid w:val="004B124A"/>
  </w:style>
  <w:style w:type="paragraph" w:customStyle="1" w:styleId="Sectiontitle">
    <w:name w:val="Section_title"/>
    <w:basedOn w:val="Annextitle"/>
    <w:next w:val="Normalaftertitle"/>
    <w:rsid w:val="004B124A"/>
  </w:style>
  <w:style w:type="paragraph" w:customStyle="1" w:styleId="Source">
    <w:name w:val="Source"/>
    <w:basedOn w:val="Normal"/>
    <w:next w:val="Normal"/>
    <w:rsid w:val="004B124A"/>
    <w:pPr>
      <w:spacing w:before="840"/>
      <w:jc w:val="center"/>
    </w:pPr>
    <w:rPr>
      <w:b/>
      <w:sz w:val="28"/>
    </w:rPr>
  </w:style>
  <w:style w:type="paragraph" w:customStyle="1" w:styleId="Title1">
    <w:name w:val="Title 1"/>
    <w:basedOn w:val="Source"/>
    <w:next w:val="Normal"/>
    <w:rsid w:val="00E262F1"/>
    <w:pPr>
      <w:tabs>
        <w:tab w:val="left" w:pos="567"/>
        <w:tab w:val="left" w:pos="1701"/>
        <w:tab w:val="left" w:pos="2835"/>
      </w:tabs>
      <w:spacing w:before="240"/>
    </w:pPr>
    <w:rPr>
      <w:b w:val="0"/>
      <w:caps/>
    </w:rPr>
  </w:style>
  <w:style w:type="paragraph" w:customStyle="1" w:styleId="Title2">
    <w:name w:val="Title 2"/>
    <w:basedOn w:val="Source"/>
    <w:next w:val="Normal"/>
    <w:rsid w:val="00E262F1"/>
    <w:pPr>
      <w:overflowPunct/>
      <w:autoSpaceDE/>
      <w:autoSpaceDN/>
      <w:adjustRightInd/>
      <w:spacing w:before="480"/>
      <w:textAlignment w:val="auto"/>
    </w:pPr>
    <w:rPr>
      <w:b w:val="0"/>
      <w:caps/>
    </w:rPr>
  </w:style>
  <w:style w:type="paragraph" w:customStyle="1" w:styleId="Title3">
    <w:name w:val="Title 3"/>
    <w:basedOn w:val="Title2"/>
    <w:next w:val="Normal"/>
    <w:rsid w:val="00E262F1"/>
    <w:pPr>
      <w:spacing w:before="240"/>
    </w:pPr>
    <w:rPr>
      <w:caps w:val="0"/>
    </w:rPr>
  </w:style>
  <w:style w:type="paragraph" w:customStyle="1" w:styleId="Title4">
    <w:name w:val="Title 4"/>
    <w:basedOn w:val="Title3"/>
    <w:next w:val="Heading1"/>
    <w:rsid w:val="00E262F1"/>
    <w:rPr>
      <w:b/>
    </w:rPr>
  </w:style>
  <w:style w:type="paragraph" w:customStyle="1" w:styleId="toc0">
    <w:name w:val="toc 0"/>
    <w:basedOn w:val="Normal"/>
    <w:next w:val="TOC1"/>
    <w:rsid w:val="00F8150C"/>
    <w:pPr>
      <w:tabs>
        <w:tab w:val="right" w:pos="9781"/>
      </w:tabs>
    </w:pPr>
    <w:rPr>
      <w:b/>
    </w:rPr>
  </w:style>
  <w:style w:type="paragraph" w:styleId="TOC1">
    <w:name w:val="toc 1"/>
    <w:basedOn w:val="Normal"/>
    <w:rsid w:val="00F8150C"/>
    <w:pPr>
      <w:keepLines/>
      <w:tabs>
        <w:tab w:val="left" w:pos="567"/>
        <w:tab w:val="left" w:leader="dot" w:pos="7938"/>
        <w:tab w:val="center" w:pos="9526"/>
      </w:tabs>
      <w:spacing w:before="240"/>
      <w:ind w:left="567" w:hanging="567"/>
    </w:pPr>
  </w:style>
  <w:style w:type="paragraph" w:styleId="TOC2">
    <w:name w:val="toc 2"/>
    <w:basedOn w:val="TOC1"/>
    <w:rsid w:val="00F8150C"/>
    <w:pPr>
      <w:spacing w:before="120"/>
    </w:pPr>
  </w:style>
  <w:style w:type="paragraph" w:styleId="TOC3">
    <w:name w:val="toc 3"/>
    <w:basedOn w:val="TOC2"/>
    <w:rsid w:val="00F8150C"/>
  </w:style>
  <w:style w:type="paragraph" w:styleId="TOC4">
    <w:name w:val="toc 4"/>
    <w:basedOn w:val="TOC3"/>
    <w:rsid w:val="00F8150C"/>
  </w:style>
  <w:style w:type="paragraph" w:styleId="TOC5">
    <w:name w:val="toc 5"/>
    <w:basedOn w:val="TOC4"/>
    <w:rsid w:val="00F8150C"/>
  </w:style>
  <w:style w:type="paragraph" w:styleId="TOC6">
    <w:name w:val="toc 6"/>
    <w:basedOn w:val="TOC4"/>
    <w:rsid w:val="00F8150C"/>
  </w:style>
  <w:style w:type="paragraph" w:styleId="TOC7">
    <w:name w:val="toc 7"/>
    <w:basedOn w:val="TOC4"/>
    <w:rsid w:val="00F8150C"/>
  </w:style>
  <w:style w:type="paragraph" w:styleId="TOC8">
    <w:name w:val="toc 8"/>
    <w:basedOn w:val="TOC4"/>
    <w:rsid w:val="00F8150C"/>
  </w:style>
  <w:style w:type="paragraph" w:customStyle="1" w:styleId="Partref">
    <w:name w:val="Part_ref"/>
    <w:basedOn w:val="Annexref"/>
    <w:next w:val="Parttitle"/>
    <w:rsid w:val="0032680B"/>
  </w:style>
  <w:style w:type="paragraph" w:customStyle="1" w:styleId="Questionref">
    <w:name w:val="Question_ref"/>
    <w:basedOn w:val="Recref"/>
    <w:next w:val="Questiondate"/>
    <w:rsid w:val="006D6E67"/>
  </w:style>
  <w:style w:type="paragraph" w:customStyle="1" w:styleId="Restitle">
    <w:name w:val="Res_title"/>
    <w:basedOn w:val="Rectitle"/>
    <w:next w:val="Resref"/>
    <w:rsid w:val="009E11EC"/>
  </w:style>
  <w:style w:type="paragraph" w:customStyle="1" w:styleId="SpecialFooter">
    <w:name w:val="Special Footer"/>
    <w:basedOn w:val="Footer"/>
    <w:rsid w:val="00262C09"/>
    <w:pPr>
      <w:tabs>
        <w:tab w:val="left" w:pos="567"/>
        <w:tab w:val="left" w:pos="1134"/>
        <w:tab w:val="left" w:pos="1701"/>
        <w:tab w:val="left" w:pos="2268"/>
        <w:tab w:val="left" w:pos="2835"/>
      </w:tabs>
      <w:jc w:val="both"/>
    </w:pPr>
    <w:rPr>
      <w:caps w:val="0"/>
      <w:noProof w:val="0"/>
    </w:rPr>
  </w:style>
  <w:style w:type="paragraph" w:customStyle="1" w:styleId="Volumetitle">
    <w:name w:val="Volume_title"/>
    <w:basedOn w:val="Normal"/>
    <w:qFormat/>
    <w:rsid w:val="00305FD9"/>
    <w:pPr>
      <w:keepNext/>
      <w:keepLines/>
      <w:spacing w:before="480"/>
      <w:jc w:val="center"/>
    </w:pPr>
    <w:rPr>
      <w:b/>
      <w:caps/>
      <w:sz w:val="28"/>
    </w:rPr>
  </w:style>
  <w:style w:type="paragraph" w:customStyle="1" w:styleId="Committee">
    <w:name w:val="Committee"/>
    <w:basedOn w:val="Normal"/>
    <w:qFormat/>
    <w:rsid w:val="00E83D45"/>
    <w:pPr>
      <w:framePr w:hSpace="180" w:wrap="around" w:hAnchor="margin" w:y="-675"/>
      <w:tabs>
        <w:tab w:val="left" w:pos="851"/>
      </w:tabs>
      <w:spacing w:before="0" w:line="240" w:lineRule="atLeast"/>
    </w:pPr>
    <w:rPr>
      <w:rFonts w:ascii="Verdana" w:hAnsi="Verdana" w:cstheme="minorHAnsi"/>
      <w:b/>
      <w:sz w:val="20"/>
      <w:szCs w:val="24"/>
      <w:lang w:val="en-GB"/>
    </w:rPr>
  </w:style>
  <w:style w:type="character" w:customStyle="1" w:styleId="ResNoChar">
    <w:name w:val="Res_No Char"/>
    <w:link w:val="ResNo"/>
    <w:rsid w:val="00E8097C"/>
    <w:rPr>
      <w:rFonts w:ascii="Times New Roman" w:hAnsi="Times New Roman"/>
      <w:caps/>
      <w:sz w:val="28"/>
      <w:lang w:val="es-ES_tradnl" w:eastAsia="en-US"/>
    </w:rPr>
  </w:style>
  <w:style w:type="paragraph" w:customStyle="1" w:styleId="Opinionref">
    <w:name w:val="Opinion_ref"/>
    <w:basedOn w:val="Normal"/>
    <w:next w:val="Normalaftertitle"/>
    <w:qFormat/>
    <w:rsid w:val="00E83D45"/>
    <w:pPr>
      <w:overflowPunct/>
      <w:autoSpaceDE/>
      <w:autoSpaceDN/>
      <w:adjustRightInd/>
      <w:spacing w:before="0"/>
      <w:jc w:val="center"/>
      <w:textAlignment w:val="auto"/>
    </w:pPr>
    <w:rPr>
      <w:i/>
      <w:sz w:val="22"/>
      <w:lang w:val="fr-CH"/>
    </w:rPr>
  </w:style>
  <w:style w:type="paragraph" w:customStyle="1" w:styleId="Opiniontitle">
    <w:name w:val="Opinion_title"/>
    <w:basedOn w:val="Restitle"/>
    <w:next w:val="Opinionref"/>
    <w:qFormat/>
    <w:rsid w:val="00E83D45"/>
    <w:rPr>
      <w:lang w:val="en-GB"/>
    </w:rPr>
  </w:style>
  <w:style w:type="paragraph" w:customStyle="1" w:styleId="OpinionNo">
    <w:name w:val="Opinion_No"/>
    <w:basedOn w:val="ResNo"/>
    <w:next w:val="Opiniontitle"/>
    <w:qFormat/>
    <w:rsid w:val="00E83D45"/>
    <w:pPr>
      <w:spacing w:line="280" w:lineRule="exact"/>
    </w:pPr>
  </w:style>
  <w:style w:type="character" w:customStyle="1" w:styleId="HeaderChar">
    <w:name w:val="Header Char"/>
    <w:basedOn w:val="DefaultParagraphFont"/>
    <w:link w:val="Header"/>
    <w:rsid w:val="00E83D45"/>
    <w:rPr>
      <w:rFonts w:ascii="Times New Roman" w:hAnsi="Times New Roman"/>
      <w:sz w:val="18"/>
      <w:lang w:val="es-ES_tradnl" w:eastAsia="en-US"/>
    </w:rPr>
  </w:style>
  <w:style w:type="character" w:customStyle="1" w:styleId="FooterChar">
    <w:name w:val="Footer Char"/>
    <w:basedOn w:val="DefaultParagraphFont"/>
    <w:link w:val="Footer"/>
    <w:rsid w:val="00E83D45"/>
    <w:rPr>
      <w:rFonts w:ascii="Times New Roman" w:hAnsi="Times New Roman"/>
      <w:caps/>
      <w:noProof/>
      <w:sz w:val="16"/>
      <w:lang w:val="es-ES_tradnl" w:eastAsia="en-US"/>
    </w:rPr>
  </w:style>
  <w:style w:type="paragraph" w:customStyle="1" w:styleId="HeadingSummary">
    <w:name w:val="HeadingSummary"/>
    <w:basedOn w:val="Headingb"/>
    <w:qFormat/>
    <w:rsid w:val="00B173B3"/>
    <w:rPr>
      <w:rFonts w:ascii="Times New Roman" w:hAnsi="Times New Roman"/>
    </w:rPr>
  </w:style>
  <w:style w:type="character" w:styleId="PlaceholderText">
    <w:name w:val="Placeholder Text"/>
    <w:basedOn w:val="DefaultParagraphFont"/>
    <w:uiPriority w:val="99"/>
    <w:semiHidden/>
    <w:rsid w:val="006B0F54"/>
    <w:rPr>
      <w:color w:val="808080"/>
    </w:rPr>
  </w:style>
  <w:style w:type="paragraph" w:customStyle="1" w:styleId="DocNumber">
    <w:name w:val="DocNumber"/>
    <w:basedOn w:val="Normal"/>
    <w:rsid w:val="002E5627"/>
    <w:pPr>
      <w:spacing w:before="0"/>
    </w:pPr>
    <w:rPr>
      <w:rFonts w:ascii="Verdana" w:hAnsi="Verdana"/>
      <w:b/>
      <w:sz w:val="20"/>
      <w:lang w:val="en-US"/>
    </w:rPr>
  </w:style>
  <w:style w:type="character" w:styleId="Hyperlink">
    <w:name w:val="Hyperlink"/>
    <w:basedOn w:val="DefaultParagraphFont"/>
    <w:uiPriority w:val="99"/>
    <w:semiHidden/>
    <w:unhideWhenUsed/>
    <w:rPr>
      <w:color w:val="0000FF" w:themeColor="hyperlink"/>
      <w:u w:val="single"/>
    </w:rPr>
  </w:style>
  <w:style w:type="paragraph" w:styleId="ListParagraph">
    <w:name w:val="List Paragraph"/>
    <w:basedOn w:val="Normal"/>
    <w:uiPriority w:val="34"/>
    <w:qFormat/>
    <w:rsid w:val="009C018C"/>
    <w:pPr>
      <w:ind w:left="720"/>
      <w:contextualSpacing/>
    </w:pPr>
  </w:style>
  <w:style w:type="paragraph" w:styleId="Revision">
    <w:name w:val="Revision"/>
    <w:hidden/>
    <w:uiPriority w:val="99"/>
    <w:semiHidden/>
    <w:rsid w:val="004A4E6E"/>
    <w:rPr>
      <w:rFonts w:ascii="Times New Roman" w:hAnsi="Times New Roman"/>
      <w:sz w:val="24"/>
      <w:lang w:val="es-ES_tradnl"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1.xml"/><Relationship Id="rId5" Type="http://schemas.openxmlformats.org/officeDocument/2006/relationships/styles" Target="styles.xml"/><Relationship Id="rId15" Type="http://schemas.openxmlformats.org/officeDocument/2006/relationships/fontTable" Target="fontTable.xml"/><Relationship Id="rId10" Type="http://schemas.openxmlformats.org/officeDocument/2006/relationships/image" Target="media/image1.jpeg"/><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ct:contentTypeSchema xmlns:ct="http://schemas.microsoft.com/office/2006/metadata/contentType" xmlns:ma="http://schemas.microsoft.com/office/2006/metadata/properties/metaAttributes" ct:_="" ma:_="" ma:contentTypeName="DPM Document" ma:contentTypeID="0x0101003E653A548FCF90468B9840661443DCAF007CA98E47F9E07A4688AB58227F39616D" ma:contentTypeVersion="3" ma:contentTypeDescription="" ma:contentTypeScope="" ma:versionID="669530a660a8b617addc494cf095b1b2">
  <xsd:schema xmlns:xsd="http://www.w3.org/2001/XMLSchema" xmlns:xs="http://www.w3.org/2001/XMLSchema" xmlns:p="http://schemas.microsoft.com/office/2006/metadata/properties" xmlns:ns2="996b2e75-67fd-4955-a3b0-5ab9934cb50b" xmlns:ns3="5bb661b1-75da-44df-bad9-d03af7220dc3" targetNamespace="http://schemas.microsoft.com/office/2006/metadata/properties" ma:root="true" ma:fieldsID="d41af5c836d734370eb92e7ee5f83852" ns2:_="" ns3:_="">
    <xsd:import namespace="996b2e75-67fd-4955-a3b0-5ab9934cb50b"/>
    <xsd:import namespace="5bb661b1-75da-44df-bad9-d03af7220dc3"/>
    <xsd:element name="properties">
      <xsd:complexType>
        <xsd:sequence>
          <xsd:element name="documentManagement">
            <xsd:complexType>
              <xsd:all>
                <xsd:element ref="ns3:DPM_x0020_Author" minOccurs="0"/>
                <xsd:element ref="ns3:DPM_x0020_File_x0020_name" minOccurs="0"/>
                <xsd:element ref="ns3:DPM_x0020_Vers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96b2e75-67fd-4955-a3b0-5ab9934cb50b" elementFormDefault="qualified">
    <xsd:import namespace="http://schemas.microsoft.com/office/2006/documentManagement/types"/>
    <xsd:import namespace="http://schemas.microsoft.com/office/infopath/2007/PartnerControls"/>
  </xsd:schema>
  <xsd:schema xmlns:xsd="http://www.w3.org/2001/XMLSchema" xmlns:xs="http://www.w3.org/2001/XMLSchema" xmlns:dms="http://schemas.microsoft.com/office/2006/documentManagement/types" xmlns:pc="http://schemas.microsoft.com/office/infopath/2007/PartnerControls" targetNamespace="5bb661b1-75da-44df-bad9-d03af7220dc3" elementFormDefault="qualified">
    <xsd:import namespace="http://schemas.microsoft.com/office/2006/documentManagement/types"/>
    <xsd:import namespace="http://schemas.microsoft.com/office/infopath/2007/PartnerControls"/>
    <xsd:element name="DPM_x0020_Author" ma:index="11" nillable="true" ma:displayName="DPM Author" ma:internalName="DPM_x0020_Author">
      <xsd:simpleType>
        <xsd:restriction base="dms:Text">
          <xsd:maxLength value="255"/>
        </xsd:restriction>
      </xsd:simpleType>
    </xsd:element>
    <xsd:element name="DPM_x0020_File_x0020_name" ma:index="12" nillable="true" ma:displayName="DPM File name" ma:internalName="DPM_x0020_File_x0020_name">
      <xsd:simpleType>
        <xsd:restriction base="dms:Text">
          <xsd:maxLength value="255"/>
        </xsd:restriction>
      </xsd:simpleType>
    </xsd:element>
    <xsd:element name="DPM_x0020_Version" ma:index="13" nillable="true" ma:displayName="DPM Version" ma:internalName="DPM_x0020_Version">
      <xsd:simpleType>
        <xsd:restriction base="dms:Text">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DPM_x0020_Author xmlns="5bb661b1-75da-44df-bad9-d03af7220dc3">DPM</DPM_x0020_Author>
    <DPM_x0020_File_x0020_name xmlns="5bb661b1-75da-44df-bad9-d03af7220dc3">T17-WTSA.20-C-0036!A32!MSW-S</DPM_x0020_File_x0020_name>
    <DPM_x0020_Version xmlns="5bb661b1-75da-44df-bad9-d03af7220dc3">DPM_2019.11.13.01</DPM_x0020_Version>
  </documentManagement>
</p:properties>
</file>

<file path=customXml/itemProps1.xml><?xml version="1.0" encoding="utf-8"?>
<ds:datastoreItem xmlns:ds="http://schemas.openxmlformats.org/officeDocument/2006/customXml" ds:itemID="{053BF394-93F1-45CA-8645-1A97CFD390AE}">
  <ds:schemaRefs>
    <ds:schemaRef ds:uri="http://schemas.openxmlformats.org/officeDocument/2006/bibliography"/>
  </ds:schemaRefs>
</ds:datastoreItem>
</file>

<file path=customXml/itemProps2.xml><?xml version="1.0" encoding="utf-8"?>
<ds:datastoreItem xmlns:ds="http://schemas.openxmlformats.org/officeDocument/2006/customXml" ds:itemID="{0AF829E2-78C4-4AE9-B0CB-2D4C96A037A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96b2e75-67fd-4955-a3b0-5ab9934cb50b"/>
    <ds:schemaRef ds:uri="5bb661b1-75da-44df-bad9-d03af7220dc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DF3D58E2-EC10-4DC5-9074-AF807B63C28A}">
  <ds:schemaRefs>
    <ds:schemaRef ds:uri="http://schemas.microsoft.com/office/2006/metadata/properties"/>
    <ds:schemaRef ds:uri="http://schemas.microsoft.com/office/infopath/2007/PartnerControls"/>
    <ds:schemaRef ds:uri="5bb661b1-75da-44df-bad9-d03af7220dc3"/>
  </ds:schemaRefs>
</ds:datastoreItem>
</file>

<file path=docProps/app.xml><?xml version="1.0" encoding="utf-8"?>
<Properties xmlns="http://schemas.openxmlformats.org/officeDocument/2006/extended-properties" xmlns:vt="http://schemas.openxmlformats.org/officeDocument/2006/docPropsVTypes">
  <Template>Normal.dotm</Template>
  <TotalTime>29</TotalTime>
  <Pages>4</Pages>
  <Words>919</Words>
  <Characters>4851</Characters>
  <Application>Microsoft Office Word</Application>
  <DocSecurity>0</DocSecurity>
  <Lines>40</Lines>
  <Paragraphs>11</Paragraphs>
  <ScaleCrop>false</ScaleCrop>
  <HeadingPairs>
    <vt:vector size="2" baseType="variant">
      <vt:variant>
        <vt:lpstr>Title</vt:lpstr>
      </vt:variant>
      <vt:variant>
        <vt:i4>1</vt:i4>
      </vt:variant>
    </vt:vector>
  </HeadingPairs>
  <TitlesOfParts>
    <vt:vector size="1" baseType="lpstr">
      <vt:lpstr>T17-WTSA.20-C-0036!A32!MSW-S</vt:lpstr>
    </vt:vector>
  </TitlesOfParts>
  <Manager>Secretaría General - Pool</Manager>
  <Company>International Telecommunication Union (ITU)</Company>
  <LinksUpToDate>false</LinksUpToDate>
  <CharactersWithSpaces>5759</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T17-WTSA.20-C-0036!A32!MSW-S</dc:title>
  <dc:subject>World Telecommunication Standardization Assembly</dc:subject>
  <dc:creator>Documents Proposals Manager (DPM)</dc:creator>
  <cp:keywords>DPM_v2022.1.20.1_prod</cp:keywords>
  <dc:description>Template used by DPM and CPI for the WTSA-16</dc:description>
  <cp:lastModifiedBy>Margaret Murphy</cp:lastModifiedBy>
  <cp:revision>7</cp:revision>
  <cp:lastPrinted>2022-02-08T08:02:00Z</cp:lastPrinted>
  <dcterms:created xsi:type="dcterms:W3CDTF">2022-02-07T07:25:00Z</dcterms:created>
  <dcterms:modified xsi:type="dcterms:W3CDTF">2022-02-08T09:13:00Z</dcterms:modified>
  <cp:category>Documento de conferencia</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Header">
    <vt:lpwstr>RR</vt:lpwstr>
  </property>
  <property fmtid="{D5CDD505-2E9C-101B-9397-08002B2CF9AE}" pid="3" name="Docnum">
    <vt:lpwstr>PS_WRC07.dot</vt:lpwstr>
  </property>
  <property fmtid="{D5CDD505-2E9C-101B-9397-08002B2CF9AE}" pid="4" name="Docdate">
    <vt:lpwstr/>
  </property>
  <property fmtid="{D5CDD505-2E9C-101B-9397-08002B2CF9AE}" pid="5" name="Docorlang">
    <vt:lpwstr/>
  </property>
  <property fmtid="{D5CDD505-2E9C-101B-9397-08002B2CF9AE}" pid="6" name="Docbluepink">
    <vt:lpwstr/>
  </property>
  <property fmtid="{D5CDD505-2E9C-101B-9397-08002B2CF9AE}" pid="7" name="Docdest">
    <vt:lpwstr/>
  </property>
  <property fmtid="{D5CDD505-2E9C-101B-9397-08002B2CF9AE}" pid="8" name="Docauthor">
    <vt:lpwstr/>
  </property>
</Properties>
</file>