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9E1886" w14:paraId="49AF6F2F" w14:textId="77777777" w:rsidTr="009B0563">
        <w:trPr>
          <w:cantSplit/>
        </w:trPr>
        <w:tc>
          <w:tcPr>
            <w:tcW w:w="6613" w:type="dxa"/>
            <w:vAlign w:val="center"/>
          </w:tcPr>
          <w:p w14:paraId="7FCF6A2E" w14:textId="77777777" w:rsidR="009B0563" w:rsidRPr="009E1886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9E1886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5329717A" w14:textId="77777777" w:rsidR="009B0563" w:rsidRPr="009E1886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9E1886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77F33E71" w14:textId="77777777" w:rsidR="009B0563" w:rsidRPr="009E1886" w:rsidRDefault="009B0563" w:rsidP="009B0563">
            <w:pPr>
              <w:spacing w:before="0"/>
              <w:rPr>
                <w:lang w:val="es-ES"/>
              </w:rPr>
            </w:pPr>
            <w:r w:rsidRPr="009E1886">
              <w:rPr>
                <w:noProof/>
                <w:lang w:val="es-ES" w:eastAsia="zh-CN"/>
              </w:rPr>
              <w:drawing>
                <wp:inline distT="0" distB="0" distL="0" distR="0" wp14:anchorId="0B067E5C" wp14:editId="132A3AE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E1886" w14:paraId="5C2FC13A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A493AE8" w14:textId="77777777" w:rsidR="00F0220A" w:rsidRPr="009E1886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1665D882" w14:textId="77777777" w:rsidR="00F0220A" w:rsidRPr="009E1886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9E1886" w14:paraId="433B04E5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F14AB48" w14:textId="77777777" w:rsidR="005A374D" w:rsidRPr="009E1886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46FBC17F" w14:textId="77777777" w:rsidR="005A374D" w:rsidRPr="009E1886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9E1886" w14:paraId="22224681" w14:textId="77777777" w:rsidTr="004B520A">
        <w:trPr>
          <w:cantSplit/>
        </w:trPr>
        <w:tc>
          <w:tcPr>
            <w:tcW w:w="6613" w:type="dxa"/>
          </w:tcPr>
          <w:p w14:paraId="4A37A446" w14:textId="77777777" w:rsidR="00E83D45" w:rsidRPr="009E1886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9E1886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53A5FE86" w14:textId="77777777" w:rsidR="00E83D45" w:rsidRPr="009E1886" w:rsidRDefault="00E83D45" w:rsidP="002E5627">
            <w:pPr>
              <w:pStyle w:val="DocNumber"/>
              <w:rPr>
                <w:bCs/>
                <w:lang w:val="es-ES"/>
              </w:rPr>
            </w:pPr>
            <w:r w:rsidRPr="009E1886">
              <w:rPr>
                <w:lang w:val="es-ES"/>
              </w:rPr>
              <w:t>Addéndum 23 al</w:t>
            </w:r>
            <w:r w:rsidRPr="009E1886">
              <w:rPr>
                <w:lang w:val="es-ES"/>
              </w:rPr>
              <w:br/>
              <w:t>Documento 35-S</w:t>
            </w:r>
          </w:p>
        </w:tc>
      </w:tr>
      <w:tr w:rsidR="00E83D45" w:rsidRPr="009E1886" w14:paraId="570A5ADC" w14:textId="77777777" w:rsidTr="004B520A">
        <w:trPr>
          <w:cantSplit/>
        </w:trPr>
        <w:tc>
          <w:tcPr>
            <w:tcW w:w="6613" w:type="dxa"/>
          </w:tcPr>
          <w:p w14:paraId="17F784F4" w14:textId="77777777" w:rsidR="00E83D45" w:rsidRPr="009E1886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0DB44010" w14:textId="77777777" w:rsidR="00E83D45" w:rsidRPr="009E1886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9E1886">
              <w:rPr>
                <w:rFonts w:ascii="Verdana" w:hAnsi="Verdana"/>
                <w:b/>
                <w:sz w:val="20"/>
                <w:lang w:val="es-ES"/>
              </w:rPr>
              <w:t>20 de enero de 2022</w:t>
            </w:r>
          </w:p>
        </w:tc>
      </w:tr>
      <w:tr w:rsidR="00E83D45" w:rsidRPr="009E1886" w14:paraId="74635E4D" w14:textId="77777777" w:rsidTr="004B520A">
        <w:trPr>
          <w:cantSplit/>
        </w:trPr>
        <w:tc>
          <w:tcPr>
            <w:tcW w:w="6613" w:type="dxa"/>
          </w:tcPr>
          <w:p w14:paraId="434C9AD7" w14:textId="77777777" w:rsidR="00E83D45" w:rsidRPr="009E1886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6CDCF9AD" w14:textId="77777777" w:rsidR="00E83D45" w:rsidRPr="009E1886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9E1886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9E1886" w14:paraId="7635537E" w14:textId="77777777" w:rsidTr="004B520A">
        <w:trPr>
          <w:cantSplit/>
        </w:trPr>
        <w:tc>
          <w:tcPr>
            <w:tcW w:w="9811" w:type="dxa"/>
            <w:gridSpan w:val="2"/>
          </w:tcPr>
          <w:p w14:paraId="2325A4F0" w14:textId="77777777" w:rsidR="00681766" w:rsidRPr="009E1886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9E1886" w14:paraId="48333FF4" w14:textId="77777777" w:rsidTr="004B520A">
        <w:trPr>
          <w:cantSplit/>
        </w:trPr>
        <w:tc>
          <w:tcPr>
            <w:tcW w:w="9811" w:type="dxa"/>
            <w:gridSpan w:val="2"/>
          </w:tcPr>
          <w:p w14:paraId="76D0ED79" w14:textId="77777777" w:rsidR="00E83D45" w:rsidRPr="001378DA" w:rsidRDefault="00E83D45" w:rsidP="004B520A">
            <w:pPr>
              <w:pStyle w:val="Source"/>
              <w:rPr>
                <w:lang w:val="es-ES"/>
              </w:rPr>
            </w:pPr>
            <w:r w:rsidRPr="001378DA">
              <w:rPr>
                <w:lang w:val="es-ES"/>
              </w:rPr>
              <w:t>Administraciones de la Unión Africana de Telecomunicaciones</w:t>
            </w:r>
          </w:p>
        </w:tc>
      </w:tr>
      <w:tr w:rsidR="00E83D45" w:rsidRPr="009E1886" w14:paraId="5AEF9DF0" w14:textId="77777777" w:rsidTr="004B520A">
        <w:trPr>
          <w:cantSplit/>
        </w:trPr>
        <w:tc>
          <w:tcPr>
            <w:tcW w:w="9811" w:type="dxa"/>
            <w:gridSpan w:val="2"/>
          </w:tcPr>
          <w:p w14:paraId="71295D5D" w14:textId="446D6927" w:rsidR="00E83D45" w:rsidRPr="001378DA" w:rsidRDefault="009E1886" w:rsidP="004B520A">
            <w:pPr>
              <w:pStyle w:val="Title1"/>
              <w:rPr>
                <w:lang w:val="es-ES"/>
              </w:rPr>
            </w:pPr>
            <w:r w:rsidRPr="001378DA">
              <w:rPr>
                <w:lang w:val="es-ES"/>
              </w:rPr>
              <w:t>Modificaciones propuestas a la resolución</w:t>
            </w:r>
            <w:r w:rsidR="00E83D45" w:rsidRPr="001378DA">
              <w:rPr>
                <w:lang w:val="es-ES"/>
              </w:rPr>
              <w:t xml:space="preserve"> 87</w:t>
            </w:r>
          </w:p>
        </w:tc>
      </w:tr>
      <w:tr w:rsidR="00E83D45" w:rsidRPr="009E1886" w14:paraId="2C1D01BB" w14:textId="77777777" w:rsidTr="004B520A">
        <w:trPr>
          <w:cantSplit/>
        </w:trPr>
        <w:tc>
          <w:tcPr>
            <w:tcW w:w="9811" w:type="dxa"/>
            <w:gridSpan w:val="2"/>
          </w:tcPr>
          <w:p w14:paraId="358AE26B" w14:textId="77777777" w:rsidR="00E83D45" w:rsidRPr="009E1886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9E1886" w14:paraId="55610C72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FD83B1F" w14:textId="77777777" w:rsidR="00E83D45" w:rsidRPr="009E1886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072758BE" w14:textId="77777777" w:rsidR="006B0F54" w:rsidRPr="009E1886" w:rsidRDefault="006B0F54" w:rsidP="006B0F54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9E1886" w14:paraId="10F7E05F" w14:textId="77777777" w:rsidTr="00193AD1">
        <w:trPr>
          <w:cantSplit/>
        </w:trPr>
        <w:tc>
          <w:tcPr>
            <w:tcW w:w="1560" w:type="dxa"/>
          </w:tcPr>
          <w:p w14:paraId="0B843703" w14:textId="77777777" w:rsidR="006B0F54" w:rsidRPr="009E1886" w:rsidRDefault="006B0F54" w:rsidP="00193AD1">
            <w:pPr>
              <w:rPr>
                <w:lang w:val="es-ES"/>
              </w:rPr>
            </w:pPr>
            <w:r w:rsidRPr="009E1886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  <w:gridSpan w:val="2"/>
          </w:tcPr>
          <w:p w14:paraId="6A3F143A" w14:textId="0F80386C" w:rsidR="006B0F54" w:rsidRPr="009E1886" w:rsidRDefault="009E1886" w:rsidP="00CA1F40">
            <w:pPr>
              <w:rPr>
                <w:color w:val="000000" w:themeColor="text1"/>
                <w:lang w:val="es-ES"/>
              </w:rPr>
            </w:pPr>
            <w:r w:rsidRPr="009E1886">
              <w:rPr>
                <w:color w:val="000000" w:themeColor="text1"/>
                <w:lang w:val="es-ES"/>
              </w:rPr>
              <w:t>Las enmiendas propuestas a la Resolución 87 de la AMNT reflejan la necesidad de recibir las aportaciones de los Directores de los tres sectores de la UIT y de sus respectivos grupos consultivos para alcanzar los objetivos del GE-RTI</w:t>
            </w:r>
            <w:r>
              <w:rPr>
                <w:color w:val="000000" w:themeColor="text1"/>
                <w:lang w:val="es-ES"/>
              </w:rPr>
              <w:t>.</w:t>
            </w:r>
          </w:p>
        </w:tc>
      </w:tr>
      <w:tr w:rsidR="0051705A" w:rsidRPr="009E1886" w14:paraId="60E7FEE5" w14:textId="77777777" w:rsidTr="00B479EE">
        <w:trPr>
          <w:cantSplit/>
        </w:trPr>
        <w:tc>
          <w:tcPr>
            <w:tcW w:w="1560" w:type="dxa"/>
          </w:tcPr>
          <w:p w14:paraId="10675430" w14:textId="77777777" w:rsidR="0051705A" w:rsidRPr="009E1886" w:rsidRDefault="0051705A" w:rsidP="0051705A">
            <w:pPr>
              <w:rPr>
                <w:b/>
                <w:bCs/>
                <w:lang w:val="es-ES"/>
              </w:rPr>
            </w:pPr>
            <w:r w:rsidRPr="009E1886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125" w:type="dxa"/>
          </w:tcPr>
          <w:p w14:paraId="67156756" w14:textId="6D13FD08" w:rsidR="0051705A" w:rsidRPr="009E1886" w:rsidRDefault="009E1886" w:rsidP="0051705A">
            <w:pPr>
              <w:rPr>
                <w:lang w:val="es-ES"/>
              </w:rPr>
            </w:pPr>
            <w:r>
              <w:rPr>
                <w:lang w:val="es-ES"/>
              </w:rPr>
              <w:t>Meriem Slimani</w:t>
            </w:r>
            <w:r w:rsidR="0051705A" w:rsidRPr="009E1886">
              <w:rPr>
                <w:lang w:val="es-ES"/>
              </w:rPr>
              <w:br/>
            </w:r>
            <w:r>
              <w:rPr>
                <w:lang w:val="es-ES"/>
              </w:rPr>
              <w:t>Unión Africana de Telecomunicaciones</w:t>
            </w:r>
            <w:r w:rsidR="0051705A" w:rsidRPr="009E1886">
              <w:rPr>
                <w:lang w:val="es-ES"/>
              </w:rPr>
              <w:br/>
            </w:r>
            <w:r>
              <w:rPr>
                <w:lang w:val="es-ES"/>
              </w:rPr>
              <w:t>Kenya</w:t>
            </w:r>
          </w:p>
        </w:tc>
        <w:tc>
          <w:tcPr>
            <w:tcW w:w="4126" w:type="dxa"/>
          </w:tcPr>
          <w:p w14:paraId="3B2A4D65" w14:textId="43EC4345" w:rsidR="0051705A" w:rsidRPr="009E1886" w:rsidRDefault="0051705A" w:rsidP="007E5A28">
            <w:pPr>
              <w:tabs>
                <w:tab w:val="left" w:pos="873"/>
              </w:tabs>
              <w:rPr>
                <w:lang w:val="es-ES"/>
              </w:rPr>
            </w:pPr>
            <w:r w:rsidRPr="009E1886">
              <w:rPr>
                <w:lang w:val="es-ES"/>
              </w:rPr>
              <w:t>Tel</w:t>
            </w:r>
            <w:r w:rsidR="00507C36" w:rsidRPr="009E1886">
              <w:rPr>
                <w:lang w:val="es-ES"/>
              </w:rPr>
              <w:t>.</w:t>
            </w:r>
            <w:r w:rsidRPr="009E1886">
              <w:rPr>
                <w:lang w:val="es-ES"/>
              </w:rPr>
              <w:t>:</w:t>
            </w:r>
            <w:r w:rsidR="007E5A28" w:rsidRPr="009E1886">
              <w:rPr>
                <w:lang w:val="es-ES"/>
              </w:rPr>
              <w:tab/>
            </w:r>
            <w:r w:rsidR="009E1886">
              <w:rPr>
                <w:lang w:val="es-ES"/>
              </w:rPr>
              <w:tab/>
            </w:r>
            <w:r w:rsidR="009E1886">
              <w:rPr>
                <w:lang w:val="es-ES"/>
              </w:rPr>
              <w:tab/>
            </w:r>
            <w:r w:rsidR="009E1886" w:rsidRPr="009E1886">
              <w:rPr>
                <w:lang w:val="es-ES"/>
              </w:rPr>
              <w:t>+254726820362</w:t>
            </w:r>
            <w:r w:rsidRPr="009E1886">
              <w:rPr>
                <w:lang w:val="es-ES"/>
              </w:rPr>
              <w:br/>
              <w:t>Correo</w:t>
            </w:r>
            <w:r w:rsidR="00507C36" w:rsidRPr="009E1886">
              <w:rPr>
                <w:lang w:val="es-ES"/>
              </w:rPr>
              <w:t>-e</w:t>
            </w:r>
            <w:r w:rsidRPr="009E1886">
              <w:rPr>
                <w:lang w:val="es-ES"/>
              </w:rPr>
              <w:t>:</w:t>
            </w:r>
            <w:r w:rsidR="007E5A28" w:rsidRPr="009E1886">
              <w:rPr>
                <w:lang w:val="es-ES"/>
              </w:rPr>
              <w:tab/>
            </w:r>
            <w:hyperlink r:id="rId11" w:history="1">
              <w:r w:rsidR="009E1886" w:rsidRPr="008B639D">
                <w:rPr>
                  <w:rStyle w:val="Hyperlink"/>
                  <w:lang w:val="es-ES"/>
                </w:rPr>
                <w:t>m.slimani@atuuat.africa</w:t>
              </w:r>
            </w:hyperlink>
            <w:r w:rsidR="009E1886">
              <w:rPr>
                <w:lang w:val="es-ES"/>
              </w:rPr>
              <w:t xml:space="preserve"> </w:t>
            </w:r>
          </w:p>
        </w:tc>
      </w:tr>
    </w:tbl>
    <w:p w14:paraId="3F2A83EA" w14:textId="77777777" w:rsidR="0051705A" w:rsidRPr="009E1886" w:rsidRDefault="0051705A" w:rsidP="00C25B5B">
      <w:pPr>
        <w:rPr>
          <w:lang w:val="es-ES"/>
        </w:rPr>
      </w:pPr>
    </w:p>
    <w:p w14:paraId="5D1370FD" w14:textId="77777777" w:rsidR="00B07178" w:rsidRPr="009E1886" w:rsidRDefault="00B07178" w:rsidP="00C25B5B">
      <w:pPr>
        <w:rPr>
          <w:lang w:val="es-ES"/>
        </w:rPr>
      </w:pPr>
      <w:r w:rsidRPr="009E1886">
        <w:rPr>
          <w:lang w:val="es-ES"/>
        </w:rPr>
        <w:br w:type="page"/>
      </w:r>
    </w:p>
    <w:p w14:paraId="4DE2709A" w14:textId="77777777" w:rsidR="00E83D45" w:rsidRPr="009E1886" w:rsidRDefault="00E83D45" w:rsidP="007E5A28">
      <w:pPr>
        <w:rPr>
          <w:lang w:val="es-ES"/>
        </w:rPr>
      </w:pPr>
    </w:p>
    <w:p w14:paraId="0306A3DC" w14:textId="77777777" w:rsidR="005572AF" w:rsidRPr="009E1886" w:rsidRDefault="00911F6F">
      <w:pPr>
        <w:pStyle w:val="Proposal"/>
        <w:rPr>
          <w:lang w:val="es-ES"/>
        </w:rPr>
      </w:pPr>
      <w:r w:rsidRPr="009E1886">
        <w:rPr>
          <w:lang w:val="es-ES"/>
        </w:rPr>
        <w:t>MOD</w:t>
      </w:r>
      <w:r w:rsidRPr="009E1886">
        <w:rPr>
          <w:lang w:val="es-ES"/>
        </w:rPr>
        <w:tab/>
        <w:t>AFCP/35A23/1</w:t>
      </w:r>
    </w:p>
    <w:p w14:paraId="30C8CF38" w14:textId="2D692D75" w:rsidR="00FD410B" w:rsidRPr="009E1886" w:rsidRDefault="00911F6F" w:rsidP="00FD410B">
      <w:pPr>
        <w:pStyle w:val="ResNo"/>
        <w:rPr>
          <w:b/>
          <w:caps w:val="0"/>
          <w:lang w:val="es-ES"/>
        </w:rPr>
      </w:pPr>
      <w:bookmarkStart w:id="0" w:name="_Toc477787197"/>
      <w:r w:rsidRPr="009E1886">
        <w:rPr>
          <w:lang w:val="es-ES"/>
        </w:rPr>
        <w:t xml:space="preserve">RESOLUCIÓN 87 </w:t>
      </w:r>
      <w:r w:rsidRPr="009E1886">
        <w:rPr>
          <w:rFonts w:hAnsi="Times New Roman Bold"/>
          <w:bCs/>
          <w:lang w:val="es-ES"/>
        </w:rPr>
        <w:t>(</w:t>
      </w:r>
      <w:del w:id="1" w:author="Peral, Fernando" w:date="2022-01-24T12:30:00Z">
        <w:r w:rsidRPr="009E1886" w:rsidDel="009E1886">
          <w:rPr>
            <w:rFonts w:hAnsi="Times New Roman Bold"/>
            <w:bCs/>
            <w:caps w:val="0"/>
            <w:lang w:val="es-ES"/>
          </w:rPr>
          <w:delText>Hammamet</w:delText>
        </w:r>
        <w:r w:rsidRPr="009E1886" w:rsidDel="009E1886">
          <w:rPr>
            <w:rFonts w:hAnsi="Times New Roman Bold"/>
            <w:bCs/>
            <w:lang w:val="es-ES"/>
          </w:rPr>
          <w:delText>, 2016</w:delText>
        </w:r>
      </w:del>
      <w:ins w:id="2" w:author="Mendoza Siles, Sidma Jeanneth" w:date="2022-01-27T00:03:00Z">
        <w:r w:rsidR="00C04BC2">
          <w:t>R</w:t>
        </w:r>
        <w:r w:rsidR="00C04BC2">
          <w:rPr>
            <w:caps w:val="0"/>
          </w:rPr>
          <w:t>ev</w:t>
        </w:r>
        <w:r w:rsidR="00C04BC2">
          <w:t xml:space="preserve">. </w:t>
        </w:r>
      </w:ins>
      <w:ins w:id="3" w:author="Peral, Fernando" w:date="2022-01-24T12:30:00Z">
        <w:r w:rsidR="009E1886">
          <w:rPr>
            <w:rFonts w:hAnsi="Times New Roman Bold"/>
            <w:bCs/>
            <w:caps w:val="0"/>
            <w:lang w:val="es-ES"/>
          </w:rPr>
          <w:t>Ginebra, 2022</w:t>
        </w:r>
      </w:ins>
      <w:r w:rsidRPr="009E1886">
        <w:rPr>
          <w:rFonts w:hAnsi="Times New Roman Bold"/>
          <w:bCs/>
          <w:lang w:val="es-ES"/>
        </w:rPr>
        <w:t>)</w:t>
      </w:r>
      <w:bookmarkEnd w:id="0"/>
    </w:p>
    <w:p w14:paraId="22C255D7" w14:textId="77777777" w:rsidR="00FD410B" w:rsidRPr="009E1886" w:rsidRDefault="00911F6F" w:rsidP="001831F4">
      <w:pPr>
        <w:pStyle w:val="Restitle"/>
        <w:rPr>
          <w:lang w:val="es-ES"/>
        </w:rPr>
      </w:pPr>
      <w:bookmarkStart w:id="4" w:name="_Toc477787198"/>
      <w:r w:rsidRPr="009E1886">
        <w:rPr>
          <w:lang w:val="es-ES"/>
        </w:rPr>
        <w:t>Participación del Sector de Normalización de las Telecomunicaciones</w:t>
      </w:r>
      <w:r w:rsidRPr="009E1886">
        <w:rPr>
          <w:lang w:val="es-ES"/>
        </w:rPr>
        <w:br/>
        <w:t xml:space="preserve">de la UIT en el examen y la revisión periódicos del Reglamento </w:t>
      </w:r>
      <w:r w:rsidRPr="009E1886">
        <w:rPr>
          <w:lang w:val="es-ES"/>
        </w:rPr>
        <w:br/>
        <w:t>de las Telecomunicaciones Internacionales</w:t>
      </w:r>
      <w:bookmarkEnd w:id="4"/>
    </w:p>
    <w:p w14:paraId="1463CFF5" w14:textId="5CFF950B" w:rsidR="00FD410B" w:rsidRPr="009E1886" w:rsidRDefault="00911F6F" w:rsidP="00FD410B">
      <w:pPr>
        <w:pStyle w:val="Resref"/>
        <w:rPr>
          <w:lang w:val="es-ES"/>
        </w:rPr>
      </w:pPr>
      <w:bookmarkStart w:id="5" w:name="lt_pId029"/>
      <w:r w:rsidRPr="009E1886">
        <w:rPr>
          <w:lang w:val="es-ES"/>
        </w:rPr>
        <w:t>(Hammamet, 2016</w:t>
      </w:r>
      <w:ins w:id="6" w:author="Peral, Fernando" w:date="2022-01-24T12:30:00Z">
        <w:r w:rsidR="009E1886">
          <w:rPr>
            <w:lang w:val="es-ES"/>
          </w:rPr>
          <w:t>; Ginebra, 2022</w:t>
        </w:r>
      </w:ins>
      <w:r w:rsidRPr="009E1886">
        <w:rPr>
          <w:lang w:val="es-ES"/>
        </w:rPr>
        <w:t>)</w:t>
      </w:r>
      <w:bookmarkEnd w:id="5"/>
    </w:p>
    <w:p w14:paraId="542D9BFB" w14:textId="7B0A0C3E" w:rsidR="00FD410B" w:rsidRPr="009E1886" w:rsidRDefault="00911F6F" w:rsidP="00FD410B">
      <w:pPr>
        <w:pStyle w:val="Normalaftertitle"/>
        <w:rPr>
          <w:lang w:val="es-ES"/>
        </w:rPr>
      </w:pPr>
      <w:bookmarkStart w:id="7" w:name="lt_pId030"/>
      <w:r w:rsidRPr="009E1886">
        <w:rPr>
          <w:lang w:val="es-ES"/>
        </w:rPr>
        <w:t>La Asamblea Mundial de Normalización de las Telecomunicaciones (</w:t>
      </w:r>
      <w:del w:id="8" w:author="Peral, Fernando" w:date="2022-01-24T12:30:00Z">
        <w:r w:rsidRPr="009E1886" w:rsidDel="009E1886">
          <w:rPr>
            <w:lang w:val="es-ES"/>
          </w:rPr>
          <w:delText>Hammamet, 2016</w:delText>
        </w:r>
      </w:del>
      <w:ins w:id="9" w:author="Peral, Fernando" w:date="2022-01-24T12:30:00Z">
        <w:r w:rsidR="009E1886">
          <w:rPr>
            <w:lang w:val="es-ES"/>
          </w:rPr>
          <w:t>Ginebra, 2022</w:t>
        </w:r>
      </w:ins>
      <w:r w:rsidRPr="009E1886">
        <w:rPr>
          <w:lang w:val="es-ES"/>
        </w:rPr>
        <w:t>),</w:t>
      </w:r>
      <w:bookmarkEnd w:id="7"/>
    </w:p>
    <w:p w14:paraId="74C5CBF0" w14:textId="77777777" w:rsidR="00FD410B" w:rsidRPr="009E1886" w:rsidRDefault="00911F6F" w:rsidP="00FD410B">
      <w:pPr>
        <w:pStyle w:val="Call"/>
        <w:rPr>
          <w:lang w:val="es-ES"/>
        </w:rPr>
      </w:pPr>
      <w:r w:rsidRPr="009E1886">
        <w:rPr>
          <w:lang w:val="es-ES"/>
        </w:rPr>
        <w:t>recordando</w:t>
      </w:r>
    </w:p>
    <w:p w14:paraId="632DBBA2" w14:textId="77777777" w:rsidR="00FD410B" w:rsidRPr="009E1886" w:rsidRDefault="00911F6F" w:rsidP="00FD410B">
      <w:pPr>
        <w:rPr>
          <w:lang w:val="es-ES"/>
        </w:rPr>
      </w:pPr>
      <w:r w:rsidRPr="009E1886">
        <w:rPr>
          <w:i/>
          <w:iCs/>
          <w:lang w:val="es-ES"/>
        </w:rPr>
        <w:t>a)</w:t>
      </w:r>
      <w:r w:rsidRPr="009E1886">
        <w:rPr>
          <w:lang w:val="es-ES"/>
        </w:rPr>
        <w:tab/>
        <w:t>el Artículo 25 de la Constitución de la UIT sobre las Conferencias Mundiales de Telecomunicaciones Internacionales (CMTI);</w:t>
      </w:r>
    </w:p>
    <w:p w14:paraId="6C842305" w14:textId="77777777" w:rsidR="00FD410B" w:rsidRPr="009E1886" w:rsidRDefault="00911F6F" w:rsidP="00FD410B">
      <w:pPr>
        <w:rPr>
          <w:lang w:val="es-ES"/>
        </w:rPr>
      </w:pPr>
      <w:r w:rsidRPr="009E1886">
        <w:rPr>
          <w:i/>
          <w:iCs/>
          <w:lang w:val="es-ES"/>
        </w:rPr>
        <w:t>b)</w:t>
      </w:r>
      <w:r w:rsidRPr="009E1886">
        <w:rPr>
          <w:lang w:val="es-ES"/>
        </w:rPr>
        <w:tab/>
        <w:t>el número 48 del Artículo 3 del Convenio de la UIT sobre otras Conferencias y Asambleas;</w:t>
      </w:r>
    </w:p>
    <w:p w14:paraId="2440699C" w14:textId="77777777" w:rsidR="00FD410B" w:rsidRPr="009E1886" w:rsidRDefault="00911F6F" w:rsidP="00FD410B">
      <w:pPr>
        <w:rPr>
          <w:lang w:val="es-ES"/>
        </w:rPr>
      </w:pPr>
      <w:r w:rsidRPr="009E1886">
        <w:rPr>
          <w:i/>
          <w:iCs/>
          <w:lang w:val="es-ES"/>
        </w:rPr>
        <w:t>c)</w:t>
      </w:r>
      <w:r w:rsidRPr="009E1886">
        <w:rPr>
          <w:lang w:val="es-ES"/>
        </w:rPr>
        <w:tab/>
        <w:t>la Resolución 4 (Dubái, 2012) de la CMTI sobre la revisión periódica del Reglamento de las Telecomunicaciones Internacionales (RTI);</w:t>
      </w:r>
    </w:p>
    <w:p w14:paraId="562043A3" w14:textId="6B678976" w:rsidR="00FD410B" w:rsidRPr="009E1886" w:rsidRDefault="00911F6F" w:rsidP="00FD410B">
      <w:pPr>
        <w:rPr>
          <w:lang w:val="es-ES"/>
        </w:rPr>
      </w:pPr>
      <w:r w:rsidRPr="009E1886">
        <w:rPr>
          <w:i/>
          <w:iCs/>
          <w:lang w:val="es-ES"/>
        </w:rPr>
        <w:t>d)</w:t>
      </w:r>
      <w:r w:rsidRPr="009E1886">
        <w:rPr>
          <w:lang w:val="es-ES"/>
        </w:rPr>
        <w:tab/>
        <w:t>la Resolución 146 (</w:t>
      </w:r>
      <w:del w:id="10" w:author="Peral, Fernando" w:date="2022-01-24T12:30:00Z">
        <w:r w:rsidRPr="009E1886" w:rsidDel="009E1886">
          <w:rPr>
            <w:lang w:val="es-ES"/>
          </w:rPr>
          <w:delText>Busán, 2014</w:delText>
        </w:r>
      </w:del>
      <w:ins w:id="11" w:author="Peral, Fernando" w:date="2022-01-24T12:30:00Z">
        <w:r w:rsidR="009E1886">
          <w:rPr>
            <w:lang w:val="es-ES"/>
          </w:rPr>
          <w:t>Dubái, 2018</w:t>
        </w:r>
      </w:ins>
      <w:r w:rsidRPr="009E1886">
        <w:rPr>
          <w:lang w:val="es-ES"/>
        </w:rPr>
        <w:t>) de la Conferencia de Plenipotenciarios sobre el examen periódico y la revisión del RTI;</w:t>
      </w:r>
    </w:p>
    <w:p w14:paraId="2ECFA65F" w14:textId="6FC6347C" w:rsidR="00FD410B" w:rsidRPr="009E1886" w:rsidRDefault="00911F6F" w:rsidP="00225FC4">
      <w:pPr>
        <w:rPr>
          <w:lang w:val="es-ES"/>
        </w:rPr>
      </w:pPr>
      <w:r w:rsidRPr="009E1886">
        <w:rPr>
          <w:i/>
          <w:iCs/>
          <w:lang w:val="es-ES"/>
        </w:rPr>
        <w:t>e)</w:t>
      </w:r>
      <w:r w:rsidRPr="009E1886">
        <w:rPr>
          <w:lang w:val="es-ES"/>
        </w:rPr>
        <w:tab/>
        <w:t>la Resolución 1379 del Consejo de la UIT, relativa al Grupo de Expertos sobre el Reglamento de las Telecomunicaciones Internacionales (GE-RTI),</w:t>
      </w:r>
      <w:ins w:id="12" w:author="Peral, Fernando" w:date="2022-01-24T12:31:00Z">
        <w:r w:rsidR="009E1886">
          <w:rPr>
            <w:lang w:val="es-ES"/>
          </w:rPr>
          <w:t xml:space="preserve"> en la que se encarga a los Directores de las Oficinas, cada uno en su ámbito de competencia, con el asesoramiento del grupo asesor correspondiente, que contribuyan a los trabajos del grupo,</w:t>
        </w:r>
      </w:ins>
    </w:p>
    <w:p w14:paraId="6F2E6266" w14:textId="77777777" w:rsidR="00FD410B" w:rsidRPr="009E1886" w:rsidRDefault="00911F6F" w:rsidP="00FD410B">
      <w:pPr>
        <w:pStyle w:val="Call"/>
        <w:rPr>
          <w:lang w:val="es-ES"/>
        </w:rPr>
      </w:pPr>
      <w:r w:rsidRPr="009E1886">
        <w:rPr>
          <w:lang w:val="es-ES"/>
        </w:rPr>
        <w:t>reconociendo</w:t>
      </w:r>
    </w:p>
    <w:p w14:paraId="6181E5BA" w14:textId="30371DF4" w:rsidR="00FD410B" w:rsidRPr="009E1886" w:rsidRDefault="00911F6F" w:rsidP="00FD410B">
      <w:pPr>
        <w:rPr>
          <w:lang w:val="es-ES"/>
        </w:rPr>
      </w:pPr>
      <w:r w:rsidRPr="009E1886">
        <w:rPr>
          <w:i/>
          <w:iCs/>
          <w:lang w:val="es-ES"/>
        </w:rPr>
        <w:t>a)</w:t>
      </w:r>
      <w:r w:rsidRPr="009E1886">
        <w:rPr>
          <w:i/>
          <w:iCs/>
          <w:lang w:val="es-ES"/>
        </w:rPr>
        <w:tab/>
      </w:r>
      <w:r w:rsidRPr="009E1886">
        <w:rPr>
          <w:lang w:val="es-ES"/>
        </w:rPr>
        <w:t xml:space="preserve">que, tal y como se indica en la Resolución 146 (Rev. </w:t>
      </w:r>
      <w:del w:id="13" w:author="Peral, Fernando" w:date="2022-01-24T12:32:00Z">
        <w:r w:rsidRPr="009E1886" w:rsidDel="00F31995">
          <w:rPr>
            <w:lang w:val="es-ES"/>
          </w:rPr>
          <w:delText>Busán, 2014</w:delText>
        </w:r>
      </w:del>
      <w:ins w:id="14" w:author="Peral, Fernando" w:date="2022-01-24T12:32:00Z">
        <w:r w:rsidR="00F31995">
          <w:rPr>
            <w:lang w:val="es-ES"/>
          </w:rPr>
          <w:t>Dubái, 2018</w:t>
        </w:r>
      </w:ins>
      <w:r w:rsidRPr="009E1886">
        <w:rPr>
          <w:lang w:val="es-ES"/>
        </w:rPr>
        <w:t>), la mayor parte de la labor relativa al RTI está a cargo del Sector de Normalización de las Telecomunicaciones de la UIT (UIT-T);</w:t>
      </w:r>
    </w:p>
    <w:p w14:paraId="4F570861" w14:textId="77777777" w:rsidR="00FD410B" w:rsidRPr="009E1886" w:rsidRDefault="00911F6F" w:rsidP="00FD410B">
      <w:pPr>
        <w:rPr>
          <w:lang w:val="es-ES"/>
        </w:rPr>
      </w:pPr>
      <w:r w:rsidRPr="009E1886">
        <w:rPr>
          <w:i/>
          <w:iCs/>
          <w:lang w:val="es-ES"/>
        </w:rPr>
        <w:t>b)</w:t>
      </w:r>
      <w:r w:rsidRPr="009E1886">
        <w:rPr>
          <w:lang w:val="es-ES"/>
        </w:rPr>
        <w:tab/>
        <w:t>la importancia de las contribuciones de las Comisiones de Estudio del UIT-T al proceso de contribución del UIT-T al GE-RTI, cuando es necesario y según procede,</w:t>
      </w:r>
    </w:p>
    <w:p w14:paraId="58E95C16" w14:textId="77777777" w:rsidR="00FD410B" w:rsidRPr="009E1886" w:rsidRDefault="00911F6F" w:rsidP="00FD410B">
      <w:pPr>
        <w:pStyle w:val="Call"/>
        <w:rPr>
          <w:lang w:val="es-ES"/>
        </w:rPr>
      </w:pPr>
      <w:r w:rsidRPr="009E1886">
        <w:rPr>
          <w:lang w:val="es-ES"/>
        </w:rPr>
        <w:t>considerando</w:t>
      </w:r>
    </w:p>
    <w:p w14:paraId="0B7E9296" w14:textId="77777777" w:rsidR="00FD410B" w:rsidRPr="009E1886" w:rsidRDefault="00911F6F" w:rsidP="00FD410B">
      <w:pPr>
        <w:rPr>
          <w:lang w:val="es-ES"/>
        </w:rPr>
      </w:pPr>
      <w:r w:rsidRPr="009E1886">
        <w:rPr>
          <w:i/>
          <w:iCs/>
          <w:lang w:val="es-ES"/>
        </w:rPr>
        <w:t>a)</w:t>
      </w:r>
      <w:r w:rsidRPr="009E1886">
        <w:rPr>
          <w:lang w:val="es-ES"/>
        </w:rPr>
        <w:tab/>
        <w:t>que el UIT-T desempeña un papel relevante en la resolución de los nuevos problemas que pueden surgir, incluso los derivados del cambio del entorno de telecomunicaciones/tecnologías de la información y la comunicación (TIC) mundial;</w:t>
      </w:r>
    </w:p>
    <w:p w14:paraId="04FE2D0B" w14:textId="77777777" w:rsidR="00F31995" w:rsidRDefault="00911F6F" w:rsidP="00FD410B">
      <w:pPr>
        <w:rPr>
          <w:ins w:id="15" w:author="Peral, Fernando" w:date="2022-01-24T12:32:00Z"/>
          <w:lang w:val="es-ES"/>
        </w:rPr>
      </w:pPr>
      <w:r w:rsidRPr="009E1886">
        <w:rPr>
          <w:i/>
          <w:iCs/>
          <w:lang w:val="es-ES"/>
        </w:rPr>
        <w:t>b)</w:t>
      </w:r>
      <w:r w:rsidRPr="009E1886">
        <w:rPr>
          <w:lang w:val="es-ES"/>
        </w:rPr>
        <w:tab/>
        <w:t>que todos los Estados Miembros, así como los Miembros de Sector del UIT-T, deberían tener la oportunidad de aportar su contribución al trabajo sobre el RTI</w:t>
      </w:r>
      <w:ins w:id="16" w:author="Peral, Fernando" w:date="2022-01-24T12:32:00Z">
        <w:r w:rsidR="00F31995">
          <w:rPr>
            <w:lang w:val="es-ES"/>
          </w:rPr>
          <w:t>;</w:t>
        </w:r>
      </w:ins>
    </w:p>
    <w:p w14:paraId="11CA28C3" w14:textId="4A615B1C" w:rsidR="00FD410B" w:rsidRPr="009E1886" w:rsidRDefault="00F31995" w:rsidP="00FD410B">
      <w:pPr>
        <w:rPr>
          <w:lang w:val="es-ES"/>
        </w:rPr>
      </w:pPr>
      <w:ins w:id="17" w:author="Peral, Fernando" w:date="2022-01-24T12:32:00Z">
        <w:r>
          <w:rPr>
            <w:lang w:val="es-ES"/>
          </w:rPr>
          <w:t>c)</w:t>
        </w:r>
        <w:r>
          <w:rPr>
            <w:lang w:val="es-ES"/>
          </w:rPr>
          <w:tab/>
          <w:t>la labor que está llevando a cabo el GE-RTI, y la nota</w:t>
        </w:r>
      </w:ins>
      <w:ins w:id="18" w:author="Peral, Fernando" w:date="2022-01-24T12:33:00Z">
        <w:r>
          <w:rPr>
            <w:lang w:val="es-ES"/>
          </w:rPr>
          <w:t xml:space="preserve"> del Presidente del Grupo a los Directores de las Oficinas, solicitando aportaciones de sus sectores para alcanzar los objetivos del grupo</w:t>
        </w:r>
      </w:ins>
      <w:r w:rsidR="00911F6F" w:rsidRPr="009E1886">
        <w:rPr>
          <w:lang w:val="es-ES"/>
        </w:rPr>
        <w:t>,</w:t>
      </w:r>
    </w:p>
    <w:p w14:paraId="138A7106" w14:textId="77777777" w:rsidR="00FD410B" w:rsidRPr="009E1886" w:rsidRDefault="00911F6F" w:rsidP="00FD410B">
      <w:pPr>
        <w:pStyle w:val="Call"/>
        <w:rPr>
          <w:lang w:val="es-ES"/>
        </w:rPr>
      </w:pPr>
      <w:r w:rsidRPr="009E1886">
        <w:rPr>
          <w:lang w:val="es-ES"/>
        </w:rPr>
        <w:t>resuelve encargar al Director de la Oficina de Normalización de las Telecomunicaciones</w:t>
      </w:r>
    </w:p>
    <w:p w14:paraId="411E9ECA" w14:textId="0EEBA3AA" w:rsidR="00FD410B" w:rsidRPr="009E1886" w:rsidRDefault="00911F6F" w:rsidP="00FD410B">
      <w:pPr>
        <w:rPr>
          <w:lang w:val="es-ES"/>
        </w:rPr>
      </w:pPr>
      <w:r w:rsidRPr="009E1886">
        <w:rPr>
          <w:lang w:val="es-ES"/>
        </w:rPr>
        <w:t>1</w:t>
      </w:r>
      <w:r w:rsidRPr="009E1886">
        <w:rPr>
          <w:lang w:val="es-ES"/>
        </w:rPr>
        <w:tab/>
        <w:t>que inicie las actividades necesarias en el ámbito de competencias del Director para aplicar plenamente la Resolución 146 (</w:t>
      </w:r>
      <w:del w:id="19" w:author="Peral, Fernando" w:date="2022-01-24T12:34:00Z">
        <w:r w:rsidRPr="009E1886" w:rsidDel="00F31995">
          <w:rPr>
            <w:lang w:val="es-ES"/>
          </w:rPr>
          <w:delText>Busán, 2014</w:delText>
        </w:r>
      </w:del>
      <w:ins w:id="20" w:author="Peral, Fernando" w:date="2022-01-24T12:34:00Z">
        <w:r w:rsidR="00F31995">
          <w:rPr>
            <w:lang w:val="es-ES"/>
          </w:rPr>
          <w:t>Rev. Dubái, 2018</w:t>
        </w:r>
      </w:ins>
      <w:r w:rsidRPr="009E1886">
        <w:rPr>
          <w:lang w:val="es-ES"/>
        </w:rPr>
        <w:t>) y la Resolución 1379 del Consejo;</w:t>
      </w:r>
    </w:p>
    <w:p w14:paraId="4EBE7A48" w14:textId="77777777" w:rsidR="00FD410B" w:rsidRPr="009E1886" w:rsidRDefault="00911F6F" w:rsidP="00FD410B">
      <w:pPr>
        <w:rPr>
          <w:lang w:val="es-ES"/>
        </w:rPr>
      </w:pPr>
      <w:bookmarkStart w:id="21" w:name="lt_pId045"/>
      <w:r w:rsidRPr="009E1886">
        <w:rPr>
          <w:lang w:val="es-ES"/>
        </w:rPr>
        <w:lastRenderedPageBreak/>
        <w:t>2</w:t>
      </w:r>
      <w:r w:rsidRPr="009E1886">
        <w:rPr>
          <w:lang w:val="es-ES"/>
        </w:rPr>
        <w:tab/>
        <w:t>que presente el resultado de estas actividades al GE-RTI</w:t>
      </w:r>
      <w:bookmarkEnd w:id="21"/>
      <w:r w:rsidRPr="009E1886">
        <w:rPr>
          <w:lang w:val="es-ES"/>
        </w:rPr>
        <w:t>,</w:t>
      </w:r>
    </w:p>
    <w:p w14:paraId="7C660042" w14:textId="77777777" w:rsidR="00FD410B" w:rsidRPr="009E1886" w:rsidRDefault="00911F6F" w:rsidP="00FD410B">
      <w:pPr>
        <w:pStyle w:val="Call"/>
        <w:rPr>
          <w:lang w:val="es-ES"/>
        </w:rPr>
      </w:pPr>
      <w:r w:rsidRPr="009E1886">
        <w:rPr>
          <w:lang w:val="es-ES"/>
        </w:rPr>
        <w:t>encarga al Grupo Asesor de Normalización de las Telecomunicaciones</w:t>
      </w:r>
    </w:p>
    <w:p w14:paraId="7024D797" w14:textId="2E7CFAB3" w:rsidR="00FD410B" w:rsidRPr="009E1886" w:rsidRDefault="00911F6F" w:rsidP="00FD410B">
      <w:pPr>
        <w:rPr>
          <w:lang w:val="es-ES"/>
        </w:rPr>
      </w:pPr>
      <w:r w:rsidRPr="009E1886">
        <w:rPr>
          <w:lang w:val="es-ES"/>
        </w:rPr>
        <w:t xml:space="preserve">que proporcione asesoramiento al Director de la Oficina de Normalización de las Telecomunicaciones con arreglo a la Resolución 146 (Rev. </w:t>
      </w:r>
      <w:del w:id="22" w:author="Peral, Fernando" w:date="2022-01-24T12:34:00Z">
        <w:r w:rsidRPr="009E1886" w:rsidDel="00F31995">
          <w:rPr>
            <w:lang w:val="es-ES"/>
          </w:rPr>
          <w:delText>Busán, 2014</w:delText>
        </w:r>
      </w:del>
      <w:ins w:id="23" w:author="Peral, Fernando" w:date="2022-01-24T12:34:00Z">
        <w:r w:rsidR="00F31995">
          <w:rPr>
            <w:lang w:val="es-ES"/>
          </w:rPr>
          <w:t>Dubái, 2018</w:t>
        </w:r>
      </w:ins>
      <w:r w:rsidRPr="009E1886">
        <w:rPr>
          <w:lang w:val="es-ES"/>
        </w:rPr>
        <w:t>) y la Resolución 1379 del Consejo,</w:t>
      </w:r>
    </w:p>
    <w:p w14:paraId="506FA02F" w14:textId="77777777" w:rsidR="00FD410B" w:rsidRPr="009E1886" w:rsidRDefault="00911F6F" w:rsidP="00FD410B">
      <w:pPr>
        <w:pStyle w:val="Call"/>
        <w:rPr>
          <w:lang w:val="es-ES"/>
        </w:rPr>
      </w:pPr>
      <w:r w:rsidRPr="009E1886">
        <w:rPr>
          <w:lang w:val="es-ES"/>
        </w:rPr>
        <w:t>invita a los Estados Miembros y Miembros de Sector</w:t>
      </w:r>
    </w:p>
    <w:p w14:paraId="65610D4E" w14:textId="77777777" w:rsidR="00FD410B" w:rsidRPr="009E1886" w:rsidRDefault="00911F6F" w:rsidP="00FD410B">
      <w:pPr>
        <w:rPr>
          <w:lang w:val="es-ES"/>
        </w:rPr>
      </w:pPr>
      <w:bookmarkStart w:id="24" w:name="lt_pId052"/>
      <w:r w:rsidRPr="00B335B2">
        <w:rPr>
          <w:lang w:val="es-ES"/>
          <w:rPrChange w:id="25" w:author="Mendoza Siles, Sidma Jeanneth" w:date="2022-01-27T09:03:00Z">
            <w:rPr>
              <w:highlight w:val="red"/>
              <w:lang w:val="es-ES"/>
            </w:rPr>
          </w:rPrChange>
        </w:rPr>
        <w:t xml:space="preserve">a participar y </w:t>
      </w:r>
      <w:bookmarkEnd w:id="24"/>
      <w:r w:rsidRPr="00B335B2">
        <w:rPr>
          <w:lang w:val="es-ES"/>
          <w:rPrChange w:id="26" w:author="Mendoza Siles, Sidma Jeanneth" w:date="2022-01-27T09:03:00Z">
            <w:rPr>
              <w:highlight w:val="red"/>
              <w:lang w:val="es-ES"/>
            </w:rPr>
          </w:rPrChange>
        </w:rPr>
        <w:t>contribuir a la aplicación de esta Resolución.</w:t>
      </w:r>
    </w:p>
    <w:p w14:paraId="1108AA88" w14:textId="77777777" w:rsidR="00B321E8" w:rsidRDefault="00B321E8" w:rsidP="00411C49">
      <w:pPr>
        <w:pStyle w:val="Reasons"/>
      </w:pPr>
    </w:p>
    <w:p w14:paraId="57484832" w14:textId="695883F2" w:rsidR="005572AF" w:rsidRPr="00B321E8" w:rsidRDefault="00B321E8" w:rsidP="00B321E8">
      <w:pPr>
        <w:jc w:val="center"/>
      </w:pPr>
      <w:r>
        <w:t>______________</w:t>
      </w:r>
    </w:p>
    <w:sectPr w:rsidR="005572AF" w:rsidRPr="00B321E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D4F2" w14:textId="77777777" w:rsidR="00FC241D" w:rsidRDefault="00FC241D">
      <w:r>
        <w:separator/>
      </w:r>
    </w:p>
  </w:endnote>
  <w:endnote w:type="continuationSeparator" w:id="0">
    <w:p w14:paraId="607F5D80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383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A94C3" w14:textId="0F7420D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1378DA">
      <w:rPr>
        <w:noProof/>
        <w:lang w:val="fr-CH"/>
      </w:rPr>
      <w:t>P:\ESP\ITU-T\CONF-T\WTSA20\000\035ADD23S.docx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78DA">
      <w:rPr>
        <w:noProof/>
      </w:rPr>
      <w:t>27.01.22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78DA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6BFE" w14:textId="6559EB52" w:rsidR="00E773ED" w:rsidRPr="00911F6F" w:rsidRDefault="00E773ED" w:rsidP="00E773ED">
    <w:pPr>
      <w:pStyle w:val="Footer"/>
      <w:rPr>
        <w:lang w:val="en-US"/>
      </w:rPr>
    </w:pPr>
    <w:r w:rsidRPr="001378DA">
      <w:rPr>
        <w:lang w:val="en-US"/>
      </w:rPr>
      <w:fldChar w:fldCharType="begin"/>
    </w:r>
    <w:r w:rsidRPr="001378DA">
      <w:rPr>
        <w:lang w:val="en-US"/>
      </w:rPr>
      <w:instrText xml:space="preserve"> FILENAME \p  \* MERGEFORMAT </w:instrText>
    </w:r>
    <w:r w:rsidRPr="001378DA">
      <w:rPr>
        <w:lang w:val="en-US"/>
      </w:rPr>
      <w:fldChar w:fldCharType="separate"/>
    </w:r>
    <w:r w:rsidR="001378DA">
      <w:rPr>
        <w:lang w:val="en-US"/>
      </w:rPr>
      <w:t>P:\ESP\ITU-T\CONF-T\WTSA20\000\035ADD23S.docx</w:t>
    </w:r>
    <w:r w:rsidRPr="001378DA">
      <w:rPr>
        <w:lang w:val="en-US"/>
      </w:rPr>
      <w:fldChar w:fldCharType="end"/>
    </w:r>
    <w:r w:rsidRPr="001378DA">
      <w:rPr>
        <w:lang w:val="en-US"/>
      </w:rPr>
      <w:t xml:space="preserve"> (500753)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BE69" w14:textId="7E53F553" w:rsidR="00E773ED" w:rsidRPr="00911F6F" w:rsidRDefault="00E773ED" w:rsidP="00E773ED">
    <w:pPr>
      <w:pStyle w:val="Footer"/>
      <w:rPr>
        <w:lang w:val="en-US"/>
      </w:rPr>
    </w:pPr>
    <w:r w:rsidRPr="001378DA">
      <w:rPr>
        <w:lang w:val="en-US"/>
      </w:rPr>
      <w:fldChar w:fldCharType="begin"/>
    </w:r>
    <w:r w:rsidRPr="001378DA">
      <w:rPr>
        <w:lang w:val="en-US"/>
      </w:rPr>
      <w:instrText xml:space="preserve"> FILENAME \p  \* MERGEFORMAT </w:instrText>
    </w:r>
    <w:r w:rsidRPr="001378DA">
      <w:rPr>
        <w:lang w:val="en-US"/>
      </w:rPr>
      <w:fldChar w:fldCharType="separate"/>
    </w:r>
    <w:r w:rsidR="001378DA">
      <w:rPr>
        <w:lang w:val="en-US"/>
      </w:rPr>
      <w:t>P:\ESP\ITU-T\CONF-T\WTSA20\000\035ADD23S.docx</w:t>
    </w:r>
    <w:r w:rsidRPr="001378DA">
      <w:rPr>
        <w:lang w:val="en-US"/>
      </w:rPr>
      <w:fldChar w:fldCharType="end"/>
    </w:r>
    <w:r w:rsidRPr="001378DA">
      <w:rPr>
        <w:lang w:val="en-US"/>
      </w:rPr>
      <w:t xml:space="preserve"> (500753)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B110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44F0B465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8413" w14:textId="77777777" w:rsidR="00650B0C" w:rsidRPr="00772622" w:rsidRDefault="00650B0C" w:rsidP="00650B0C">
    <w:pPr>
      <w:spacing w:before="0"/>
      <w:jc w:val="center"/>
      <w:rPr>
        <w:sz w:val="18"/>
        <w:szCs w:val="18"/>
        <w:lang w:val="en-GB"/>
      </w:rPr>
    </w:pPr>
    <w:r w:rsidRPr="00772622">
      <w:rPr>
        <w:sz w:val="18"/>
        <w:szCs w:val="18"/>
        <w:lang w:val="en-GB"/>
      </w:rPr>
      <w:fldChar w:fldCharType="begin"/>
    </w:r>
    <w:r w:rsidRPr="00772622">
      <w:rPr>
        <w:sz w:val="18"/>
        <w:szCs w:val="18"/>
        <w:lang w:val="en-GB"/>
      </w:rPr>
      <w:instrText xml:space="preserve"> PAGE  \* MERGEFORMAT </w:instrText>
    </w:r>
    <w:r w:rsidRPr="00772622">
      <w:rPr>
        <w:sz w:val="18"/>
        <w:szCs w:val="18"/>
        <w:lang w:val="en-GB"/>
      </w:rPr>
      <w:fldChar w:fldCharType="separate"/>
    </w:r>
    <w:r w:rsidRPr="00772622">
      <w:rPr>
        <w:sz w:val="18"/>
        <w:szCs w:val="18"/>
        <w:lang w:val="en-GB"/>
      </w:rPr>
      <w:t>3</w:t>
    </w:r>
    <w:r w:rsidRPr="00772622">
      <w:rPr>
        <w:sz w:val="18"/>
        <w:szCs w:val="18"/>
        <w:lang w:val="en-GB"/>
      </w:rPr>
      <w:fldChar w:fldCharType="end"/>
    </w:r>
  </w:p>
  <w:p w14:paraId="04D94369" w14:textId="10426450" w:rsidR="00E83D45" w:rsidRPr="00772622" w:rsidRDefault="00650B0C" w:rsidP="00650B0C">
    <w:pPr>
      <w:pStyle w:val="Header"/>
      <w:rPr>
        <w:szCs w:val="18"/>
      </w:rPr>
    </w:pPr>
    <w:r w:rsidRPr="00772622">
      <w:rPr>
        <w:szCs w:val="18"/>
        <w:lang w:val="en-GB"/>
      </w:rPr>
      <w:fldChar w:fldCharType="begin"/>
    </w:r>
    <w:r w:rsidRPr="00772622">
      <w:rPr>
        <w:szCs w:val="18"/>
        <w:lang w:val="en-GB"/>
      </w:rPr>
      <w:instrText xml:space="preserve"> styleref DocNumber</w:instrText>
    </w:r>
    <w:r w:rsidRPr="00772622">
      <w:rPr>
        <w:szCs w:val="18"/>
        <w:lang w:val="en-GB"/>
      </w:rPr>
      <w:fldChar w:fldCharType="separate"/>
    </w:r>
    <w:r w:rsidR="00AC75FA">
      <w:rPr>
        <w:noProof/>
        <w:szCs w:val="18"/>
        <w:lang w:val="en-GB"/>
      </w:rPr>
      <w:t>Addéndum 23 al</w:t>
    </w:r>
    <w:r w:rsidR="00AC75FA">
      <w:rPr>
        <w:noProof/>
        <w:szCs w:val="18"/>
        <w:lang w:val="en-GB"/>
      </w:rPr>
      <w:br/>
      <w:t>Documento 35-S</w:t>
    </w:r>
    <w:r w:rsidRPr="00772622">
      <w:rPr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  <w15:person w15:author="Mendoza Siles, Sidma Jeanneth">
    <w15:presenceInfo w15:providerId="AD" w15:userId="S::sidma.mendoza@itu.int::a5061b4f-154a-4523-8d3c-92e82f8db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B74B2"/>
    <w:rsid w:val="000C7758"/>
    <w:rsid w:val="000E5BF9"/>
    <w:rsid w:val="000E5EE9"/>
    <w:rsid w:val="000F0E6D"/>
    <w:rsid w:val="00120191"/>
    <w:rsid w:val="00121170"/>
    <w:rsid w:val="00123CC5"/>
    <w:rsid w:val="001378DA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4BB2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83E48"/>
    <w:rsid w:val="004B124A"/>
    <w:rsid w:val="004B520A"/>
    <w:rsid w:val="004C3636"/>
    <w:rsid w:val="004C3A5A"/>
    <w:rsid w:val="004E61F8"/>
    <w:rsid w:val="00507C36"/>
    <w:rsid w:val="0051705A"/>
    <w:rsid w:val="00523269"/>
    <w:rsid w:val="00532097"/>
    <w:rsid w:val="005572AF"/>
    <w:rsid w:val="00566BEE"/>
    <w:rsid w:val="0058350F"/>
    <w:rsid w:val="005A374D"/>
    <w:rsid w:val="005C475F"/>
    <w:rsid w:val="005E782D"/>
    <w:rsid w:val="005F2605"/>
    <w:rsid w:val="00622F56"/>
    <w:rsid w:val="00646147"/>
    <w:rsid w:val="00650B0C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2622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1F6F"/>
    <w:rsid w:val="009144C9"/>
    <w:rsid w:val="00916196"/>
    <w:rsid w:val="0094091F"/>
    <w:rsid w:val="0094505C"/>
    <w:rsid w:val="00973754"/>
    <w:rsid w:val="0097673E"/>
    <w:rsid w:val="00990278"/>
    <w:rsid w:val="009A137D"/>
    <w:rsid w:val="009A24F8"/>
    <w:rsid w:val="009B0563"/>
    <w:rsid w:val="009C0BED"/>
    <w:rsid w:val="009E11EC"/>
    <w:rsid w:val="009E1886"/>
    <w:rsid w:val="009F6A67"/>
    <w:rsid w:val="00A118DB"/>
    <w:rsid w:val="00A24AC0"/>
    <w:rsid w:val="00A4450C"/>
    <w:rsid w:val="00A55F2D"/>
    <w:rsid w:val="00AA1D6C"/>
    <w:rsid w:val="00AA5E6C"/>
    <w:rsid w:val="00AB4E90"/>
    <w:rsid w:val="00AC75FA"/>
    <w:rsid w:val="00AE5677"/>
    <w:rsid w:val="00AE658F"/>
    <w:rsid w:val="00AF2F78"/>
    <w:rsid w:val="00B07178"/>
    <w:rsid w:val="00B1727C"/>
    <w:rsid w:val="00B173B3"/>
    <w:rsid w:val="00B257B2"/>
    <w:rsid w:val="00B321E8"/>
    <w:rsid w:val="00B335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04BC2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CF6AAF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773ED"/>
    <w:rsid w:val="00E8097C"/>
    <w:rsid w:val="00E83D45"/>
    <w:rsid w:val="00E91D30"/>
    <w:rsid w:val="00E94A4A"/>
    <w:rsid w:val="00EC1267"/>
    <w:rsid w:val="00EE1779"/>
    <w:rsid w:val="00EF0D6D"/>
    <w:rsid w:val="00F0220A"/>
    <w:rsid w:val="00F02C63"/>
    <w:rsid w:val="00F247BB"/>
    <w:rsid w:val="00F26F4E"/>
    <w:rsid w:val="00F31995"/>
    <w:rsid w:val="00F54E0E"/>
    <w:rsid w:val="00F606A0"/>
    <w:rsid w:val="00F62AB3"/>
    <w:rsid w:val="00F63177"/>
    <w:rsid w:val="00F66597"/>
    <w:rsid w:val="00F7212F"/>
    <w:rsid w:val="00F73F01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59F979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8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188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slimani@atuuat.africa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1851703-4984-4b05-ac89-4faae9dec6f8">DPM</DPM_x0020_Author>
    <DPM_x0020_File_x0020_name xmlns="31851703-4984-4b05-ac89-4faae9dec6f8">T17-WTSA.20-C-0035!A23!MSW-S</DPM_x0020_File_x0020_name>
    <DPM_x0020_Version xmlns="31851703-4984-4b05-ac89-4faae9dec6f8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1851703-4984-4b05-ac89-4faae9dec6f8" targetNamespace="http://schemas.microsoft.com/office/2006/metadata/properties" ma:root="true" ma:fieldsID="d41af5c836d734370eb92e7ee5f83852" ns2:_="" ns3:_="">
    <xsd:import namespace="996b2e75-67fd-4955-a3b0-5ab9934cb50b"/>
    <xsd:import namespace="31851703-4984-4b05-ac89-4faae9dec6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1703-4984-4b05-ac89-4faae9dec6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1851703-4984-4b05-ac89-4faae9dec6f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1851703-4984-4b05-ac89-4faae9dec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T17-WTSA.20-C-0035!A23!MSW-S</vt:lpstr>
    </vt:vector>
  </TitlesOfParts>
  <Manager>Secretaría General - Pool</Manager>
  <Company>International Telecommunication Union (ITU)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T17-WTSA.20-C-0035!A23!MSW-S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Mendoza Siles, Sidma Jeanneth</cp:lastModifiedBy>
  <cp:revision>13</cp:revision>
  <cp:lastPrinted>2016-03-08T15:23:00Z</cp:lastPrinted>
  <dcterms:created xsi:type="dcterms:W3CDTF">2022-01-26T15:48:00Z</dcterms:created>
  <dcterms:modified xsi:type="dcterms:W3CDTF">2022-01-27T08:52:00Z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